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87733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877339">
              <w:rPr>
                <w:rFonts w:ascii="Times New Roman" w:hAnsi="Times New Roman"/>
                <w:sz w:val="24"/>
              </w:rPr>
              <w:t>291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87733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877339">
              <w:rPr>
                <w:rFonts w:ascii="Times New Roman" w:hAnsi="Times New Roman"/>
                <w:sz w:val="24"/>
              </w:rPr>
              <w:t>26</w:t>
            </w:r>
            <w:r w:rsidRPr="000127F9">
              <w:rPr>
                <w:rFonts w:ascii="Times New Roman" w:hAnsi="Times New Roman"/>
                <w:sz w:val="24"/>
              </w:rPr>
              <w:t>__» _____</w:t>
            </w:r>
            <w:r w:rsidR="00877339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_______  __</w:t>
            </w:r>
            <w:r w:rsidR="00877339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963583">
        <w:rPr>
          <w:rFonts w:ascii="Times New Roman" w:hAnsi="Times New Roman"/>
          <w:b/>
          <w:sz w:val="24"/>
        </w:rPr>
        <w:t>55</w:t>
      </w:r>
      <w:r w:rsidR="001A2DF9">
        <w:rPr>
          <w:rFonts w:ascii="Times New Roman" w:hAnsi="Times New Roman"/>
          <w:b/>
          <w:sz w:val="24"/>
        </w:rPr>
        <w:t>0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>.</w:t>
      </w:r>
      <w:r w:rsidR="00AD4C01">
        <w:rPr>
          <w:rFonts w:ascii="Times New Roman" w:hAnsi="Times New Roman"/>
          <w:b/>
          <w:sz w:val="24"/>
        </w:rPr>
        <w:t xml:space="preserve"> от «_</w:t>
      </w:r>
      <w:r w:rsidR="00877339">
        <w:rPr>
          <w:rFonts w:ascii="Times New Roman" w:hAnsi="Times New Roman"/>
          <w:b/>
          <w:sz w:val="24"/>
        </w:rPr>
        <w:t>26</w:t>
      </w:r>
      <w:r w:rsidR="00AD4C01">
        <w:rPr>
          <w:rFonts w:ascii="Times New Roman" w:hAnsi="Times New Roman"/>
          <w:b/>
          <w:sz w:val="24"/>
        </w:rPr>
        <w:t>_»___</w:t>
      </w:r>
      <w:r w:rsidR="00877339">
        <w:rPr>
          <w:rFonts w:ascii="Times New Roman" w:hAnsi="Times New Roman"/>
          <w:b/>
          <w:sz w:val="24"/>
        </w:rPr>
        <w:t>09</w:t>
      </w:r>
      <w:r w:rsidR="00AD4C01">
        <w:rPr>
          <w:rFonts w:ascii="Times New Roman" w:hAnsi="Times New Roman"/>
          <w:b/>
          <w:sz w:val="24"/>
        </w:rPr>
        <w:t>____2014г.</w:t>
      </w:r>
      <w:r w:rsidR="00EA7411" w:rsidRPr="007F74A6">
        <w:rPr>
          <w:rFonts w:ascii="Times New Roman" w:hAnsi="Times New Roman"/>
          <w:b/>
          <w:sz w:val="24"/>
        </w:rPr>
        <w:t xml:space="preserve">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963583">
        <w:rPr>
          <w:rFonts w:ascii="Times New Roman" w:hAnsi="Times New Roman"/>
          <w:b/>
          <w:sz w:val="24"/>
        </w:rPr>
        <w:t>1024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963583">
        <w:rPr>
          <w:rFonts w:ascii="Times New Roman" w:hAnsi="Times New Roman"/>
          <w:b/>
          <w:sz w:val="23"/>
          <w:szCs w:val="23"/>
          <w:u w:val="single"/>
        </w:rPr>
        <w:t>Оказание сервисных услуг по сервисному обслуживанию и ремонту дозировочной техники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4D66A3" w:rsidRDefault="00875B06" w:rsidP="004D66A3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 xml:space="preserve">технической оценки </w:t>
      </w:r>
      <w:r w:rsidR="00BC0B07">
        <w:rPr>
          <w:rFonts w:ascii="Times New Roman" w:hAnsi="Times New Roman"/>
          <w:sz w:val="24"/>
        </w:rPr>
        <w:t xml:space="preserve">контрагентов для оценки и выбора подрядных организаций на проведение работ </w:t>
      </w:r>
      <w:r w:rsidRPr="003E624E">
        <w:rPr>
          <w:rFonts w:ascii="Times New Roman" w:hAnsi="Times New Roman"/>
          <w:sz w:val="24"/>
        </w:rPr>
        <w:t xml:space="preserve">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963583">
        <w:rPr>
          <w:rFonts w:ascii="Times New Roman" w:hAnsi="Times New Roman"/>
          <w:b/>
          <w:sz w:val="24"/>
        </w:rPr>
        <w:t>1024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963583">
        <w:rPr>
          <w:rFonts w:ascii="Times New Roman" w:hAnsi="Times New Roman"/>
          <w:b/>
          <w:sz w:val="23"/>
          <w:szCs w:val="23"/>
          <w:u w:val="single"/>
        </w:rPr>
        <w:t>Оказание сервисных услуг по сервисному обслуживанию и ремонту дозировочной техники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</w:p>
    <w:p w:rsidR="00875B06" w:rsidRPr="000127F9" w:rsidRDefault="004D66A3" w:rsidP="005278AB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 xml:space="preserve"> </w:t>
      </w:r>
    </w:p>
    <w:p w:rsidR="00F96C0B" w:rsidRDefault="00F96C0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5278AB">
        <w:rPr>
          <w:rFonts w:ascii="Times New Roman" w:hAnsi="Times New Roman"/>
          <w:b/>
          <w:sz w:val="24"/>
        </w:rPr>
        <w:t xml:space="preserve">         </w:t>
      </w:r>
      <w:r w:rsidR="00403CA5">
        <w:rPr>
          <w:rFonts w:ascii="Times New Roman" w:hAnsi="Times New Roman"/>
          <w:b/>
          <w:sz w:val="24"/>
        </w:rPr>
        <w:t>«</w:t>
      </w:r>
      <w:r w:rsidR="00B1596B">
        <w:rPr>
          <w:rFonts w:ascii="Times New Roman" w:hAnsi="Times New Roman"/>
          <w:b/>
          <w:sz w:val="24"/>
        </w:rPr>
        <w:t>_</w:t>
      </w:r>
      <w:r w:rsidR="00877339">
        <w:rPr>
          <w:rFonts w:ascii="Times New Roman" w:hAnsi="Times New Roman"/>
          <w:b/>
          <w:sz w:val="24"/>
        </w:rPr>
        <w:t>26</w:t>
      </w:r>
      <w:r w:rsidR="00B1596B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1596B">
        <w:rPr>
          <w:rFonts w:ascii="Times New Roman" w:hAnsi="Times New Roman"/>
          <w:b/>
          <w:sz w:val="24"/>
        </w:rPr>
        <w:t>___</w:t>
      </w:r>
      <w:r w:rsidR="00877339">
        <w:rPr>
          <w:rFonts w:ascii="Times New Roman" w:hAnsi="Times New Roman"/>
          <w:b/>
          <w:sz w:val="24"/>
        </w:rPr>
        <w:t>09</w:t>
      </w:r>
      <w:r w:rsidR="00B1596B">
        <w:rPr>
          <w:rFonts w:ascii="Times New Roman" w:hAnsi="Times New Roman"/>
          <w:b/>
          <w:sz w:val="24"/>
        </w:rPr>
        <w:t>_____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278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565F5B">
        <w:rPr>
          <w:rFonts w:ascii="Times New Roman" w:hAnsi="Times New Roman"/>
          <w:b/>
          <w:sz w:val="24"/>
        </w:rPr>
        <w:t>«</w:t>
      </w:r>
      <w:r w:rsidR="00B1596B">
        <w:rPr>
          <w:rFonts w:ascii="Times New Roman" w:hAnsi="Times New Roman"/>
          <w:b/>
          <w:sz w:val="24"/>
        </w:rPr>
        <w:t>_</w:t>
      </w:r>
      <w:r w:rsidR="00877339">
        <w:rPr>
          <w:rFonts w:ascii="Times New Roman" w:hAnsi="Times New Roman"/>
          <w:b/>
          <w:sz w:val="24"/>
        </w:rPr>
        <w:t>09</w:t>
      </w:r>
      <w:r w:rsidR="00B1596B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1596B">
        <w:rPr>
          <w:rFonts w:ascii="Times New Roman" w:hAnsi="Times New Roman"/>
          <w:b/>
          <w:sz w:val="24"/>
        </w:rPr>
        <w:t>___</w:t>
      </w:r>
      <w:r w:rsidR="00877339">
        <w:rPr>
          <w:rFonts w:ascii="Times New Roman" w:hAnsi="Times New Roman"/>
          <w:b/>
          <w:sz w:val="24"/>
        </w:rPr>
        <w:t>10</w:t>
      </w:r>
      <w:r w:rsidR="00B1596B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5278AB">
        <w:rPr>
          <w:rFonts w:ascii="Times New Roman" w:hAnsi="Times New Roman"/>
          <w:b/>
          <w:sz w:val="24"/>
        </w:rPr>
        <w:t>_</w:t>
      </w:r>
      <w:r w:rsidR="00877339">
        <w:rPr>
          <w:rFonts w:ascii="Times New Roman" w:hAnsi="Times New Roman"/>
          <w:b/>
          <w:sz w:val="24"/>
        </w:rPr>
        <w:t>31</w:t>
      </w:r>
      <w:r w:rsidR="008671C1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8671C1">
        <w:rPr>
          <w:rFonts w:ascii="Times New Roman" w:hAnsi="Times New Roman"/>
          <w:b/>
          <w:sz w:val="24"/>
        </w:rPr>
        <w:t>__</w:t>
      </w:r>
      <w:r w:rsidR="00877339">
        <w:rPr>
          <w:rFonts w:ascii="Times New Roman" w:hAnsi="Times New Roman"/>
          <w:b/>
          <w:sz w:val="24"/>
        </w:rPr>
        <w:t>12</w:t>
      </w:r>
      <w:r w:rsidR="008671C1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A4308" w:rsidRPr="00F87BDA" w:rsidRDefault="002A4308" w:rsidP="002A4308">
      <w:pPr>
        <w:tabs>
          <w:tab w:val="num" w:pos="0"/>
        </w:tabs>
        <w:spacing w:before="0"/>
        <w:jc w:val="both"/>
        <w:rPr>
          <w:rFonts w:ascii="Times New Roman" w:hAnsi="Times New Roman"/>
          <w:sz w:val="24"/>
        </w:rPr>
      </w:pPr>
      <w:r w:rsidRPr="00F87BDA">
        <w:rPr>
          <w:rFonts w:ascii="Times New Roman" w:hAnsi="Times New Roman"/>
          <w:sz w:val="24"/>
        </w:rPr>
        <w:t>Оферта предоставляется на русском языке.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BC0B07">
        <w:rPr>
          <w:rFonts w:ascii="Times New Roman" w:hAnsi="Times New Roman"/>
          <w:b/>
          <w:sz w:val="24"/>
        </w:rPr>
        <w:t>55</w:t>
      </w:r>
      <w:r w:rsidR="001A2DF9">
        <w:rPr>
          <w:rFonts w:ascii="Times New Roman" w:hAnsi="Times New Roman"/>
          <w:b/>
          <w:sz w:val="24"/>
        </w:rPr>
        <w:t>0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AD4C01">
        <w:rPr>
          <w:rFonts w:ascii="Times New Roman" w:hAnsi="Times New Roman"/>
          <w:b/>
          <w:sz w:val="24"/>
        </w:rPr>
        <w:t xml:space="preserve"> от «_</w:t>
      </w:r>
      <w:r w:rsidR="00877339">
        <w:rPr>
          <w:rFonts w:ascii="Times New Roman" w:hAnsi="Times New Roman"/>
          <w:b/>
          <w:sz w:val="24"/>
        </w:rPr>
        <w:t>26</w:t>
      </w:r>
      <w:r w:rsidR="00AD4C01">
        <w:rPr>
          <w:rFonts w:ascii="Times New Roman" w:hAnsi="Times New Roman"/>
          <w:b/>
          <w:sz w:val="24"/>
        </w:rPr>
        <w:t>__»____</w:t>
      </w:r>
      <w:r w:rsidR="00877339">
        <w:rPr>
          <w:rFonts w:ascii="Times New Roman" w:hAnsi="Times New Roman"/>
          <w:b/>
          <w:sz w:val="24"/>
        </w:rPr>
        <w:t>09</w:t>
      </w:r>
      <w:r w:rsidR="00AD4C01">
        <w:rPr>
          <w:rFonts w:ascii="Times New Roman" w:hAnsi="Times New Roman"/>
          <w:b/>
          <w:sz w:val="24"/>
        </w:rPr>
        <w:t>_____2014г.</w:t>
      </w:r>
      <w:r w:rsidRPr="007F74A6">
        <w:rPr>
          <w:rFonts w:ascii="Times New Roman" w:hAnsi="Times New Roman"/>
          <w:b/>
          <w:sz w:val="24"/>
        </w:rPr>
        <w:t>».</w:t>
      </w:r>
    </w:p>
    <w:p w:rsidR="002A4308" w:rsidRPr="00C01804" w:rsidRDefault="002A4308" w:rsidP="002A4308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</w:p>
    <w:p w:rsidR="0010646E" w:rsidRPr="0010646E" w:rsidRDefault="002A4308" w:rsidP="002A4308">
      <w:pPr>
        <w:numPr>
          <w:ilvl w:val="0"/>
          <w:numId w:val="2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</w:p>
    <w:p w:rsidR="002A4308" w:rsidRPr="004B3BF2" w:rsidRDefault="002A4308" w:rsidP="002A4308">
      <w:pPr>
        <w:numPr>
          <w:ilvl w:val="0"/>
          <w:numId w:val="2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>
        <w:rPr>
          <w:rFonts w:ascii="Times New Roman" w:hAnsi="Times New Roman"/>
          <w:b/>
          <w:sz w:val="24"/>
        </w:rPr>
        <w:t>1024</w:t>
      </w:r>
      <w:r w:rsidRPr="003E624E">
        <w:rPr>
          <w:rFonts w:ascii="Times New Roman" w:hAnsi="Times New Roman"/>
          <w:b/>
          <w:sz w:val="24"/>
        </w:rPr>
        <w:t xml:space="preserve"> </w:t>
      </w:r>
      <w:r w:rsidRPr="003E624E">
        <w:rPr>
          <w:rFonts w:ascii="Times New Roman" w:hAnsi="Times New Roman"/>
          <w:b/>
          <w:sz w:val="24"/>
          <w:u w:val="single"/>
        </w:rPr>
        <w:t>«</w:t>
      </w:r>
      <w:r>
        <w:rPr>
          <w:rFonts w:ascii="Times New Roman" w:hAnsi="Times New Roman"/>
          <w:b/>
          <w:sz w:val="23"/>
          <w:szCs w:val="23"/>
          <w:u w:val="single"/>
        </w:rPr>
        <w:t>Оказание сервисных услуг по сервисному обслуживанию и ремонту дозировочной техники</w:t>
      </w:r>
      <w:r w:rsidRPr="003E624E">
        <w:rPr>
          <w:rFonts w:ascii="Times New Roman" w:hAnsi="Times New Roman"/>
          <w:b/>
          <w:sz w:val="24"/>
          <w:u w:val="single"/>
        </w:rPr>
        <w:t>»</w:t>
      </w:r>
      <w:r>
        <w:rPr>
          <w:rFonts w:ascii="Times New Roman" w:hAnsi="Times New Roman"/>
          <w:sz w:val="24"/>
        </w:rPr>
        <w:t xml:space="preserve"> (в соответствии с Формой 9)</w:t>
      </w:r>
      <w:r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</w:t>
      </w:r>
      <w:proofErr w:type="gramEnd"/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sz w:val="24"/>
        </w:rPr>
        <w:t xml:space="preserve">конверте», </w:t>
      </w:r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</w:t>
      </w:r>
      <w:r>
        <w:rPr>
          <w:rFonts w:ascii="Times New Roman" w:hAnsi="Times New Roman"/>
          <w:sz w:val="24"/>
        </w:rPr>
        <w:t>овора (Форма 3), заполненная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Pr="00FC53A6">
        <w:rPr>
          <w:rFonts w:ascii="Times New Roman" w:hAnsi="Times New Roman"/>
          <w:sz w:val="24"/>
        </w:rPr>
        <w:t>калькуляция</w:t>
      </w:r>
      <w:proofErr w:type="gramEnd"/>
      <w:r w:rsidRPr="00FC53A6">
        <w:rPr>
          <w:rFonts w:ascii="Times New Roman" w:hAnsi="Times New Roman"/>
          <w:sz w:val="24"/>
        </w:rPr>
        <w:t xml:space="preserve"> с обязательной расшифровкой по статьям затрат (Форма 8);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A4308" w:rsidRDefault="002A4308" w:rsidP="002A4308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Pr="006D16CC">
        <w:rPr>
          <w:rFonts w:ascii="Times New Roman" w:hAnsi="Times New Roman"/>
          <w:sz w:val="24"/>
          <w:u w:val="single"/>
        </w:rPr>
        <w:t>коммерческой</w:t>
      </w:r>
      <w:r w:rsidRPr="006D16CC">
        <w:rPr>
          <w:rFonts w:ascii="Times New Roman" w:hAnsi="Times New Roman"/>
          <w:sz w:val="24"/>
        </w:rPr>
        <w:t xml:space="preserve"> части 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Формы 4 (</w:t>
      </w:r>
      <w:r w:rsidRPr="00FC53A6">
        <w:rPr>
          <w:rFonts w:ascii="Times New Roman" w:hAnsi="Times New Roman"/>
          <w:sz w:val="24"/>
        </w:rPr>
        <w:t>Таблица цен</w:t>
      </w:r>
      <w:r w:rsidRPr="00D25316">
        <w:rPr>
          <w:rFonts w:ascii="Times New Roman" w:hAnsi="Times New Roman"/>
          <w:sz w:val="24"/>
        </w:rPr>
        <w:t xml:space="preserve">), Формы </w:t>
      </w:r>
      <w:r w:rsidRPr="00FC53A6">
        <w:rPr>
          <w:rFonts w:ascii="Times New Roman" w:hAnsi="Times New Roman"/>
          <w:sz w:val="24"/>
        </w:rPr>
        <w:t>8 (Калькуляции с расшифровкой по статьям затрат)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color w:val="FF0000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A4308" w:rsidRPr="00A128CD" w:rsidRDefault="002A4308" w:rsidP="002A4308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8671C1" w:rsidRPr="007F6427" w:rsidRDefault="008671C1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4F546F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D85647">
        <w:rPr>
          <w:rFonts w:ascii="Times New Roman" w:hAnsi="Times New Roman"/>
          <w:b/>
          <w:sz w:val="24"/>
        </w:rPr>
        <w:t>_</w:t>
      </w:r>
      <w:r w:rsidR="00877339">
        <w:rPr>
          <w:rFonts w:ascii="Times New Roman" w:hAnsi="Times New Roman"/>
          <w:b/>
          <w:sz w:val="24"/>
        </w:rPr>
        <w:t>06</w:t>
      </w:r>
      <w:r w:rsidR="00D85647">
        <w:rPr>
          <w:rFonts w:ascii="Times New Roman" w:hAnsi="Times New Roman"/>
          <w:b/>
          <w:sz w:val="24"/>
        </w:rPr>
        <w:t>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D85647">
        <w:rPr>
          <w:rFonts w:ascii="Times New Roman" w:hAnsi="Times New Roman"/>
          <w:b/>
          <w:sz w:val="24"/>
        </w:rPr>
        <w:t>____</w:t>
      </w:r>
      <w:r w:rsidR="00877339">
        <w:rPr>
          <w:rFonts w:ascii="Times New Roman" w:hAnsi="Times New Roman"/>
          <w:b/>
          <w:sz w:val="24"/>
        </w:rPr>
        <w:t>10</w:t>
      </w:r>
      <w:r w:rsidR="00D85647">
        <w:rPr>
          <w:rFonts w:ascii="Times New Roman" w:hAnsi="Times New Roman"/>
          <w:b/>
          <w:sz w:val="24"/>
        </w:rPr>
        <w:t>_____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BC0B07" w:rsidRPr="004902A4" w:rsidRDefault="00BC0B07" w:rsidP="002B083A">
      <w:pPr>
        <w:spacing w:before="0"/>
        <w:jc w:val="both"/>
        <w:rPr>
          <w:rFonts w:ascii="Times New Roman" w:hAnsi="Times New Roman"/>
          <w:sz w:val="24"/>
        </w:rPr>
      </w:pPr>
    </w:p>
    <w:p w:rsidR="001A358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2B083A" w:rsidRPr="002B083A" w:rsidRDefault="002B083A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Начальник </w:t>
      </w:r>
      <w:r w:rsidR="00963583">
        <w:rPr>
          <w:rFonts w:ascii="Times New Roman" w:hAnsi="Times New Roman"/>
          <w:sz w:val="24"/>
          <w:szCs w:val="24"/>
        </w:rPr>
        <w:t>департамента трубопроводного транспорта</w:t>
      </w:r>
    </w:p>
    <w:p w:rsidR="00FD1D2E" w:rsidRPr="00FD1D2E" w:rsidRDefault="00963583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Разин Максим Геннадьевич</w:t>
      </w:r>
    </w:p>
    <w:p w:rsid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46-</w:t>
      </w:r>
      <w:r w:rsidR="00963583">
        <w:rPr>
          <w:rFonts w:ascii="Times New Roman" w:hAnsi="Times New Roman"/>
          <w:sz w:val="24"/>
          <w:szCs w:val="24"/>
        </w:rPr>
        <w:t>902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 w:rsidR="00963583" w:rsidRPr="00027B7F">
          <w:rPr>
            <w:rStyle w:val="aa"/>
            <w:rFonts w:ascii="Times New Roman" w:hAnsi="Times New Roman"/>
            <w:sz w:val="24"/>
            <w:szCs w:val="24"/>
            <w:lang w:val="en-US"/>
          </w:rPr>
          <w:t>RazinMG</w:t>
        </w:r>
        <w:r w:rsidR="00963583" w:rsidRPr="00027B7F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FD1D2E" w:rsidRPr="00963583" w:rsidRDefault="00963583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>
        <w:rPr>
          <w:rFonts w:ascii="Times New Roman" w:hAnsi="Times New Roman"/>
          <w:sz w:val="24"/>
          <w:szCs w:val="24"/>
        </w:rPr>
        <w:t>СХиКЗТ</w:t>
      </w:r>
      <w:proofErr w:type="spellEnd"/>
      <w:r>
        <w:rPr>
          <w:rFonts w:ascii="Times New Roman" w:hAnsi="Times New Roman"/>
          <w:sz w:val="24"/>
          <w:szCs w:val="24"/>
        </w:rPr>
        <w:t xml:space="preserve"> ДТТ</w:t>
      </w:r>
    </w:p>
    <w:p w:rsidR="00FD1D2E" w:rsidRPr="00FD1D2E" w:rsidRDefault="00963583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Иванов Дмитрий Валерьевич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тел. (34643) 46-</w:t>
      </w:r>
      <w:r w:rsidR="00963583">
        <w:rPr>
          <w:rFonts w:ascii="Times New Roman" w:hAnsi="Times New Roman"/>
          <w:sz w:val="24"/>
          <w:szCs w:val="24"/>
        </w:rPr>
        <w:t>249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963583" w:rsidRPr="00027B7F">
          <w:rPr>
            <w:rStyle w:val="aa"/>
            <w:rFonts w:ascii="Times New Roman" w:hAnsi="Times New Roman"/>
            <w:sz w:val="24"/>
            <w:szCs w:val="24"/>
            <w:lang w:val="en-US"/>
          </w:rPr>
          <w:t>IvanovDV</w:t>
        </w:r>
        <w:r w:rsidR="00963583" w:rsidRPr="00027B7F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212BE7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 ОЗО</w:t>
      </w:r>
      <w:r w:rsidR="00FD1D2E" w:rsidRPr="00FD1D2E">
        <w:rPr>
          <w:rFonts w:ascii="Times New Roman" w:hAnsi="Times New Roman"/>
          <w:sz w:val="24"/>
          <w:szCs w:val="24"/>
        </w:rPr>
        <w:t>У</w:t>
      </w:r>
    </w:p>
    <w:p w:rsidR="00FD1D2E" w:rsidRPr="00FD1D2E" w:rsidRDefault="00123124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Токарева Виктория Анатольевна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123124">
        <w:rPr>
          <w:rFonts w:ascii="Times New Roman" w:hAnsi="Times New Roman"/>
          <w:sz w:val="24"/>
          <w:szCs w:val="24"/>
        </w:rPr>
        <w:t>47-708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TokarevaVA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@</w:t>
        </w:r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.</w:t>
        </w:r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.</w:t>
        </w:r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963583" w:rsidRDefault="0096358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963583">
        <w:rPr>
          <w:rFonts w:ascii="Times New Roman" w:hAnsi="Times New Roman"/>
          <w:sz w:val="24"/>
        </w:rPr>
        <w:t>891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D85647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77339" w:rsidRDefault="0087733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77339" w:rsidRDefault="0087733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77339" w:rsidRDefault="0087733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77339" w:rsidRDefault="0087733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B083A" w:rsidRDefault="002B083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B083A" w:rsidRDefault="002B083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B083A" w:rsidRDefault="002B083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B083A" w:rsidRDefault="002B083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B083A" w:rsidRDefault="002B083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B083A" w:rsidRDefault="002B083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BC0B07">
        <w:rPr>
          <w:rFonts w:ascii="Times New Roman" w:hAnsi="Times New Roman"/>
          <w:b/>
          <w:sz w:val="24"/>
        </w:rPr>
        <w:t xml:space="preserve"> 55</w:t>
      </w:r>
      <w:r w:rsidR="001A2DF9">
        <w:rPr>
          <w:rFonts w:ascii="Times New Roman" w:hAnsi="Times New Roman"/>
          <w:b/>
          <w:sz w:val="24"/>
        </w:rPr>
        <w:t>0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AD4C01">
        <w:rPr>
          <w:rFonts w:ascii="Times New Roman" w:hAnsi="Times New Roman"/>
          <w:b/>
          <w:sz w:val="24"/>
        </w:rPr>
        <w:t xml:space="preserve"> от «_</w:t>
      </w:r>
      <w:r w:rsidR="00877339">
        <w:rPr>
          <w:rFonts w:ascii="Times New Roman" w:hAnsi="Times New Roman"/>
          <w:b/>
          <w:sz w:val="24"/>
        </w:rPr>
        <w:t>26</w:t>
      </w:r>
      <w:r w:rsidR="00AD4C01">
        <w:rPr>
          <w:rFonts w:ascii="Times New Roman" w:hAnsi="Times New Roman"/>
          <w:b/>
          <w:sz w:val="24"/>
        </w:rPr>
        <w:t>__»_____</w:t>
      </w:r>
      <w:r w:rsidR="00877339">
        <w:rPr>
          <w:rFonts w:ascii="Times New Roman" w:hAnsi="Times New Roman"/>
          <w:b/>
          <w:sz w:val="24"/>
        </w:rPr>
        <w:t>09</w:t>
      </w:r>
      <w:r w:rsidR="00AD4C01">
        <w:rPr>
          <w:rFonts w:ascii="Times New Roman" w:hAnsi="Times New Roman"/>
          <w:b/>
          <w:sz w:val="24"/>
        </w:rPr>
        <w:t>__2014г.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договора подряда на &lt;</w:t>
      </w:r>
      <w:r w:rsidR="0034689A">
        <w:rPr>
          <w:rFonts w:ascii="Times New Roman" w:hAnsi="Times New Roman"/>
          <w:sz w:val="24"/>
        </w:rPr>
        <w:t xml:space="preserve">оказание </w:t>
      </w:r>
      <w:r w:rsidR="00963583">
        <w:rPr>
          <w:rFonts w:ascii="Times New Roman" w:hAnsi="Times New Roman"/>
          <w:sz w:val="24"/>
        </w:rPr>
        <w:t xml:space="preserve">сервисных </w:t>
      </w:r>
      <w:r w:rsidR="0034689A">
        <w:rPr>
          <w:rFonts w:ascii="Times New Roman" w:hAnsi="Times New Roman"/>
          <w:sz w:val="24"/>
        </w:rPr>
        <w:t xml:space="preserve">услуг </w:t>
      </w:r>
      <w:r w:rsidR="00963583">
        <w:rPr>
          <w:rFonts w:ascii="Times New Roman" w:hAnsi="Times New Roman"/>
          <w:sz w:val="24"/>
        </w:rPr>
        <w:t xml:space="preserve">по обслуживанию и ремонту установок дозирования </w:t>
      </w:r>
      <w:proofErr w:type="spellStart"/>
      <w:r w:rsidR="00963583">
        <w:rPr>
          <w:rFonts w:ascii="Times New Roman" w:hAnsi="Times New Roman"/>
          <w:sz w:val="24"/>
        </w:rPr>
        <w:t>химреагентов</w:t>
      </w:r>
      <w:proofErr w:type="spellEnd"/>
      <w:proofErr w:type="gramEnd"/>
      <w:r w:rsidR="00963583">
        <w:rPr>
          <w:rFonts w:ascii="Times New Roman" w:hAnsi="Times New Roman"/>
          <w:sz w:val="24"/>
        </w:rPr>
        <w:t xml:space="preserve"> (</w:t>
      </w:r>
      <w:proofErr w:type="gramStart"/>
      <w:r w:rsidR="00963583">
        <w:rPr>
          <w:rFonts w:ascii="Times New Roman" w:hAnsi="Times New Roman"/>
          <w:sz w:val="24"/>
        </w:rPr>
        <w:t>УДХ</w:t>
      </w:r>
      <w:proofErr w:type="gramEnd"/>
      <w:r w:rsidR="00963583">
        <w:rPr>
          <w:rFonts w:ascii="Times New Roman" w:hAnsi="Times New Roman"/>
          <w:sz w:val="24"/>
        </w:rPr>
        <w:t xml:space="preserve">, </w:t>
      </w:r>
      <w:proofErr w:type="gramStart"/>
      <w:r w:rsidR="00963583">
        <w:rPr>
          <w:rFonts w:ascii="Times New Roman" w:hAnsi="Times New Roman"/>
          <w:sz w:val="24"/>
        </w:rPr>
        <w:t>УДЭ</w:t>
      </w:r>
      <w:proofErr w:type="gramEnd"/>
      <w:r w:rsidR="00963583">
        <w:rPr>
          <w:rFonts w:ascii="Times New Roman" w:hAnsi="Times New Roman"/>
          <w:sz w:val="24"/>
        </w:rPr>
        <w:t xml:space="preserve">) и блоков </w:t>
      </w:r>
      <w:proofErr w:type="spellStart"/>
      <w:r w:rsidR="00963583">
        <w:rPr>
          <w:rFonts w:ascii="Times New Roman" w:hAnsi="Times New Roman"/>
          <w:sz w:val="24"/>
        </w:rPr>
        <w:t>реагентного</w:t>
      </w:r>
      <w:proofErr w:type="spellEnd"/>
      <w:r w:rsidR="00963583">
        <w:rPr>
          <w:rFonts w:ascii="Times New Roman" w:hAnsi="Times New Roman"/>
          <w:sz w:val="24"/>
        </w:rPr>
        <w:t xml:space="preserve"> хранения (БРХ, БДР) на месторождениях ОАО «СН-МНГ»</w:t>
      </w:r>
      <w:r w:rsidRPr="000127F9">
        <w:rPr>
          <w:rFonts w:ascii="Times New Roman" w:hAnsi="Times New Roman"/>
          <w:sz w:val="24"/>
        </w:rPr>
        <w:t xml:space="preserve">&gt; на условиях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2B083A" w:rsidRDefault="002B083A" w:rsidP="000127F9">
      <w:pPr>
        <w:spacing w:before="0"/>
        <w:rPr>
          <w:rFonts w:ascii="Times New Roman" w:hAnsi="Times New Roman"/>
          <w:b/>
          <w:sz w:val="24"/>
        </w:rPr>
      </w:pPr>
    </w:p>
    <w:p w:rsidR="002B083A" w:rsidRDefault="002B083A" w:rsidP="000127F9">
      <w:pPr>
        <w:spacing w:before="0"/>
        <w:rPr>
          <w:rFonts w:ascii="Times New Roman" w:hAnsi="Times New Roman"/>
          <w:b/>
          <w:sz w:val="24"/>
        </w:rPr>
      </w:pPr>
    </w:p>
    <w:p w:rsidR="002B083A" w:rsidRPr="00D85647" w:rsidRDefault="002B083A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762F9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Адрес: 628684, ХМАО-Югра, г. Мегион,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2A5103">
        <w:rPr>
          <w:rFonts w:ascii="Times New Roman" w:hAnsi="Times New Roman"/>
          <w:sz w:val="23"/>
          <w:szCs w:val="23"/>
        </w:rPr>
        <w:t>оказание</w:t>
      </w:r>
      <w:r w:rsidR="00963583">
        <w:rPr>
          <w:rFonts w:ascii="Times New Roman" w:hAnsi="Times New Roman"/>
          <w:sz w:val="23"/>
          <w:szCs w:val="23"/>
        </w:rPr>
        <w:t xml:space="preserve"> сервисных</w:t>
      </w:r>
      <w:r w:rsidR="002A5103">
        <w:rPr>
          <w:rFonts w:ascii="Times New Roman" w:hAnsi="Times New Roman"/>
          <w:sz w:val="23"/>
          <w:szCs w:val="23"/>
        </w:rPr>
        <w:t xml:space="preserve"> услуг </w:t>
      </w:r>
      <w:r w:rsidR="00963583">
        <w:rPr>
          <w:rFonts w:ascii="Times New Roman" w:hAnsi="Times New Roman"/>
          <w:sz w:val="23"/>
          <w:szCs w:val="23"/>
        </w:rPr>
        <w:t xml:space="preserve">по обслуживанию и ремонту установок дозирования </w:t>
      </w:r>
      <w:proofErr w:type="spellStart"/>
      <w:r w:rsidR="00963583">
        <w:rPr>
          <w:rFonts w:ascii="Times New Roman" w:hAnsi="Times New Roman"/>
          <w:sz w:val="23"/>
          <w:szCs w:val="23"/>
        </w:rPr>
        <w:t>химреагентов</w:t>
      </w:r>
      <w:proofErr w:type="spellEnd"/>
      <w:r w:rsidR="00963583">
        <w:rPr>
          <w:rFonts w:ascii="Times New Roman" w:hAnsi="Times New Roman"/>
          <w:sz w:val="23"/>
          <w:szCs w:val="23"/>
        </w:rPr>
        <w:t xml:space="preserve"> (УДХ, УДЭ) и блоков </w:t>
      </w:r>
      <w:proofErr w:type="spellStart"/>
      <w:r w:rsidR="00963583">
        <w:rPr>
          <w:rFonts w:ascii="Times New Roman" w:hAnsi="Times New Roman"/>
          <w:sz w:val="23"/>
          <w:szCs w:val="23"/>
        </w:rPr>
        <w:t>реагентного</w:t>
      </w:r>
      <w:proofErr w:type="spellEnd"/>
      <w:r w:rsidR="00963583">
        <w:rPr>
          <w:rFonts w:ascii="Times New Roman" w:hAnsi="Times New Roman"/>
          <w:sz w:val="23"/>
          <w:szCs w:val="23"/>
        </w:rPr>
        <w:t xml:space="preserve"> хранения (БРХ, БДР) на месторождениях ОАО «СН-МНГ»</w:t>
      </w:r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8C7542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оказание сервисных услуг по обслуживанию и ремонту установок дозирования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химреагентов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(УДХ, УДЭ) и блоков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реагентного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хранения (БРХ, БДР) на месторождениях ОАО «СН-МНГ»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370449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01.01.2015г. по 31.12.2015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2A4308" w:rsidRPr="002A4308" w:rsidRDefault="002A4308" w:rsidP="002A4308">
            <w:pPr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Calibri" w:hAnsi="Times New Roman"/>
                <w:sz w:val="23"/>
                <w:szCs w:val="23"/>
              </w:rPr>
            </w:pPr>
            <w:r w:rsidRPr="002A4308">
              <w:rPr>
                <w:rFonts w:ascii="Times New Roman" w:eastAsia="Calibri" w:hAnsi="Times New Roman"/>
                <w:sz w:val="23"/>
                <w:szCs w:val="23"/>
              </w:rPr>
              <w:t xml:space="preserve">Заказчик обязуется осуществить оплату оказанных услуг (выполненных работ) в течение 90 (девяноста) календарных дней, но не ранее 60 (шестидесяти) дней </w:t>
            </w:r>
            <w:proofErr w:type="gramStart"/>
            <w:r w:rsidRPr="002A4308">
              <w:rPr>
                <w:rFonts w:ascii="Times New Roman" w:eastAsia="Calibri" w:hAnsi="Times New Roman"/>
                <w:sz w:val="23"/>
                <w:szCs w:val="23"/>
              </w:rPr>
              <w:t>с даты получения</w:t>
            </w:r>
            <w:proofErr w:type="gramEnd"/>
            <w:r w:rsidRPr="002A4308">
              <w:rPr>
                <w:rFonts w:ascii="Times New Roman" w:eastAsia="Calibri" w:hAnsi="Times New Roman"/>
                <w:sz w:val="23"/>
                <w:szCs w:val="23"/>
              </w:rPr>
              <w:t xml:space="preserve"> от Исполнителя оригиналов следующих документов: </w:t>
            </w:r>
          </w:p>
          <w:p w:rsidR="002A4308" w:rsidRPr="002A4308" w:rsidRDefault="002A4308" w:rsidP="002A4308">
            <w:pPr>
              <w:pStyle w:val="BodyTextIndent31"/>
              <w:numPr>
                <w:ilvl w:val="0"/>
                <w:numId w:val="20"/>
              </w:numPr>
              <w:tabs>
                <w:tab w:val="left" w:pos="993"/>
              </w:tabs>
              <w:spacing w:before="0"/>
              <w:ind w:left="0" w:firstLine="709"/>
              <w:rPr>
                <w:rFonts w:ascii="Times New Roman" w:eastAsia="Calibri" w:hAnsi="Times New Roman"/>
                <w:snapToGrid/>
                <w:sz w:val="23"/>
                <w:szCs w:val="23"/>
              </w:rPr>
            </w:pPr>
            <w:r w:rsidRPr="002A4308">
              <w:rPr>
                <w:rFonts w:ascii="Times New Roman" w:eastAsia="Calibri" w:hAnsi="Times New Roman"/>
                <w:snapToGrid/>
                <w:sz w:val="23"/>
                <w:szCs w:val="23"/>
              </w:rPr>
              <w:t>Акта оказанных услуг;</w:t>
            </w:r>
          </w:p>
          <w:p w:rsidR="002A4308" w:rsidRPr="002A4308" w:rsidRDefault="002A4308" w:rsidP="002A4308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before="0"/>
              <w:ind w:left="0" w:firstLine="709"/>
              <w:jc w:val="both"/>
              <w:rPr>
                <w:rFonts w:ascii="Times New Roman" w:eastAsia="Calibri" w:hAnsi="Times New Roman"/>
                <w:sz w:val="23"/>
                <w:szCs w:val="23"/>
              </w:rPr>
            </w:pPr>
            <w:r w:rsidRPr="002A4308">
              <w:rPr>
                <w:rFonts w:ascii="Times New Roman" w:eastAsia="Calibri" w:hAnsi="Times New Roman"/>
                <w:sz w:val="23"/>
                <w:szCs w:val="23"/>
              </w:rPr>
              <w:t>Счета – фактуры.</w:t>
            </w:r>
          </w:p>
          <w:p w:rsidR="00CB3678" w:rsidRPr="00A2665F" w:rsidRDefault="00CB3678" w:rsidP="00A2665F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D5FE0" w:rsidRDefault="005D5FE0" w:rsidP="00487D2E">
      <w:pPr>
        <w:rPr>
          <w:rFonts w:ascii="Times New Roman" w:hAnsi="Times New Roman"/>
          <w:b/>
          <w:sz w:val="24"/>
        </w:rPr>
      </w:pPr>
    </w:p>
    <w:p w:rsidR="002A5103" w:rsidRDefault="00D85647" w:rsidP="002A5103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</w:t>
      </w:r>
    </w:p>
    <w:p w:rsidR="005B0A3B" w:rsidRPr="000A6477" w:rsidRDefault="00D85647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</w:t>
      </w:r>
      <w:r w:rsidR="002A5103">
        <w:rPr>
          <w:rFonts w:ascii="Times New Roman" w:hAnsi="Times New Roman"/>
          <w:b/>
          <w:sz w:val="24"/>
        </w:rPr>
        <w:t xml:space="preserve">                                                                                      </w:t>
      </w:r>
      <w:r>
        <w:rPr>
          <w:rFonts w:ascii="Times New Roman" w:hAnsi="Times New Roman"/>
          <w:b/>
          <w:sz w:val="24"/>
        </w:rPr>
        <w:t xml:space="preserve">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</w:t>
            </w:r>
            <w:r w:rsidR="00877339">
              <w:rPr>
                <w:rFonts w:ascii="Times New Roman" w:hAnsi="Times New Roman"/>
                <w:sz w:val="24"/>
              </w:rPr>
              <w:t>291</w:t>
            </w:r>
            <w:r w:rsidRPr="000A6477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87733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877339">
              <w:rPr>
                <w:rFonts w:ascii="Times New Roman" w:hAnsi="Times New Roman"/>
                <w:sz w:val="24"/>
              </w:rPr>
              <w:t>26</w:t>
            </w:r>
            <w:r w:rsidRPr="000A6477">
              <w:rPr>
                <w:rFonts w:ascii="Times New Roman" w:hAnsi="Times New Roman"/>
                <w:sz w:val="24"/>
              </w:rPr>
              <w:t>__» _____</w:t>
            </w:r>
            <w:r w:rsidR="00877339">
              <w:rPr>
                <w:rFonts w:ascii="Times New Roman" w:hAnsi="Times New Roman"/>
                <w:sz w:val="24"/>
              </w:rPr>
              <w:t>09</w:t>
            </w:r>
            <w:r w:rsidRPr="000A6477">
              <w:rPr>
                <w:rFonts w:ascii="Times New Roman" w:hAnsi="Times New Roman"/>
                <w:sz w:val="24"/>
              </w:rPr>
              <w:t>______  ___</w:t>
            </w:r>
            <w:r w:rsidR="00877339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B7735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77356">
        <w:rPr>
          <w:rFonts w:ascii="Times New Roman" w:hAnsi="Times New Roman"/>
          <w:sz w:val="24"/>
        </w:rPr>
        <w:t xml:space="preserve">Вид выполнения работ:  </w:t>
      </w:r>
      <w:r w:rsidR="00A2665F">
        <w:rPr>
          <w:rFonts w:ascii="Times New Roman" w:hAnsi="Times New Roman"/>
          <w:sz w:val="24"/>
        </w:rPr>
        <w:t xml:space="preserve">оказание сервисных услуг по </w:t>
      </w:r>
      <w:r w:rsidR="00AD4C01">
        <w:rPr>
          <w:rFonts w:ascii="Times New Roman" w:hAnsi="Times New Roman"/>
          <w:sz w:val="24"/>
        </w:rPr>
        <w:t xml:space="preserve">обслуживанию и ремонту установок дозирования </w:t>
      </w:r>
      <w:proofErr w:type="spellStart"/>
      <w:r w:rsidR="00AD4C01">
        <w:rPr>
          <w:rFonts w:ascii="Times New Roman" w:hAnsi="Times New Roman"/>
          <w:sz w:val="24"/>
        </w:rPr>
        <w:t>химреагентов</w:t>
      </w:r>
      <w:proofErr w:type="spellEnd"/>
      <w:r w:rsidR="00AD4C01">
        <w:rPr>
          <w:rFonts w:ascii="Times New Roman" w:hAnsi="Times New Roman"/>
          <w:sz w:val="24"/>
        </w:rPr>
        <w:t xml:space="preserve"> (УДХ, УДЭ) и блоков </w:t>
      </w:r>
      <w:proofErr w:type="spellStart"/>
      <w:r w:rsidR="00AD4C01">
        <w:rPr>
          <w:rFonts w:ascii="Times New Roman" w:hAnsi="Times New Roman"/>
          <w:sz w:val="24"/>
        </w:rPr>
        <w:t>реагентного</w:t>
      </w:r>
      <w:proofErr w:type="spellEnd"/>
      <w:r w:rsidR="00AD4C01">
        <w:rPr>
          <w:rFonts w:ascii="Times New Roman" w:hAnsi="Times New Roman"/>
          <w:sz w:val="24"/>
        </w:rPr>
        <w:t xml:space="preserve"> хранения (БРХ, БДР) на месторождениях ОАО «СН-МНГ»</w:t>
      </w:r>
      <w:r w:rsidR="00B77356">
        <w:rPr>
          <w:rFonts w:ascii="Times New Roman" w:hAnsi="Times New Roman"/>
          <w:sz w:val="24"/>
        </w:rPr>
        <w:t>.</w:t>
      </w:r>
    </w:p>
    <w:p w:rsidR="005B0A3B" w:rsidRPr="00B77356" w:rsidRDefault="00B77356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77356">
        <w:rPr>
          <w:rFonts w:ascii="Times New Roman" w:hAnsi="Times New Roman"/>
          <w:sz w:val="24"/>
        </w:rPr>
        <w:t xml:space="preserve"> </w:t>
      </w:r>
      <w:r w:rsidR="005B0A3B"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</w:t>
      </w:r>
      <w:r w:rsidR="00DD070C">
        <w:rPr>
          <w:rFonts w:ascii="Times New Roman" w:hAnsi="Times New Roman"/>
          <w:sz w:val="24"/>
        </w:rPr>
        <w:t xml:space="preserve">(выполненных работ) </w:t>
      </w:r>
      <w:r w:rsidRPr="00754F58">
        <w:rPr>
          <w:rFonts w:ascii="Times New Roman" w:hAnsi="Times New Roman"/>
          <w:sz w:val="24"/>
        </w:rPr>
        <w:t xml:space="preserve">в течение 90 </w:t>
      </w:r>
      <w:r w:rsidR="00DD070C">
        <w:rPr>
          <w:rFonts w:ascii="Times New Roman" w:hAnsi="Times New Roman"/>
          <w:sz w:val="24"/>
        </w:rPr>
        <w:t xml:space="preserve">(девяноста) </w:t>
      </w:r>
      <w:r w:rsidRPr="00754F58">
        <w:rPr>
          <w:rFonts w:ascii="Times New Roman" w:hAnsi="Times New Roman"/>
          <w:sz w:val="24"/>
        </w:rPr>
        <w:t xml:space="preserve">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34689A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</w:t>
      </w:r>
      <w:r w:rsidR="00A2665F">
        <w:rPr>
          <w:rFonts w:ascii="Times New Roman" w:hAnsi="Times New Roman"/>
          <w:sz w:val="24"/>
        </w:rPr>
        <w:t>акта оказанных услуг;</w:t>
      </w:r>
    </w:p>
    <w:p w:rsidR="00754F58" w:rsidRPr="00754F58" w:rsidRDefault="0034689A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б)</w:t>
      </w:r>
      <w:r w:rsidR="00A2665F">
        <w:rPr>
          <w:rFonts w:ascii="Times New Roman" w:hAnsi="Times New Roman"/>
          <w:sz w:val="24"/>
        </w:rPr>
        <w:t xml:space="preserve"> счета-фактуры.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Default="00BD40B8" w:rsidP="00DE55A5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B77356" w:rsidRPr="000A6477">
        <w:rPr>
          <w:iCs/>
        </w:rPr>
        <w:t xml:space="preserve"> требованиям, изложенным в </w:t>
      </w:r>
      <w:r w:rsidR="00F937CE">
        <w:rPr>
          <w:iCs/>
        </w:rPr>
        <w:t xml:space="preserve">Приложении №1 </w:t>
      </w:r>
      <w:r w:rsidR="00B77356" w:rsidRPr="000A6477">
        <w:rPr>
          <w:iCs/>
        </w:rPr>
        <w:t>«</w:t>
      </w:r>
      <w:r w:rsidR="00B77356" w:rsidRPr="000A6477">
        <w:rPr>
          <w:b/>
          <w:iCs/>
        </w:rPr>
        <w:t>Техническо</w:t>
      </w:r>
      <w:r w:rsidR="00F937CE">
        <w:rPr>
          <w:b/>
          <w:iCs/>
        </w:rPr>
        <w:t>е</w:t>
      </w:r>
      <w:r w:rsidR="00B77356" w:rsidRPr="000A6477">
        <w:rPr>
          <w:b/>
          <w:iCs/>
        </w:rPr>
        <w:t xml:space="preserve"> задани</w:t>
      </w:r>
      <w:r w:rsidR="00F937CE">
        <w:rPr>
          <w:b/>
          <w:iCs/>
        </w:rPr>
        <w:t>е на оказание сервисных услуг по сервисному обслуживанию и ремонту дозировочной техники на месторождениях ОАО «МНГ</w:t>
      </w:r>
      <w:r w:rsidR="00B77356" w:rsidRPr="000A6477">
        <w:rPr>
          <w:b/>
          <w:iCs/>
        </w:rPr>
        <w:t>»</w:t>
      </w:r>
      <w:r w:rsidR="00B77356">
        <w:rPr>
          <w:b/>
          <w:iCs/>
        </w:rPr>
        <w:t xml:space="preserve"> </w:t>
      </w:r>
      <w:r w:rsidR="00B77356" w:rsidRPr="00124AA3">
        <w:rPr>
          <w:iCs/>
        </w:rPr>
        <w:t>(Форма 5).</w:t>
      </w:r>
      <w:r w:rsidR="00B77356" w:rsidRPr="000A6477">
        <w:rPr>
          <w:b/>
          <w:iCs/>
        </w:rPr>
        <w:t xml:space="preserve"> </w:t>
      </w:r>
      <w:r w:rsidR="00F937CE" w:rsidRPr="000A6477">
        <w:t xml:space="preserve">Обязательным условием является заполнение </w:t>
      </w:r>
      <w:r w:rsidR="00F937CE">
        <w:t>калькуляции (Форма 8) с расшифровками по статьям затрат.</w:t>
      </w:r>
    </w:p>
    <w:p w:rsidR="00230F80" w:rsidRPr="000A6477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B05352" w:rsidRPr="008D5E0A" w:rsidRDefault="005A45A5" w:rsidP="00B05352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Соответствие  «К</w:t>
      </w:r>
      <w:r w:rsidR="00B05352" w:rsidRPr="008D5E0A">
        <w:rPr>
          <w:rFonts w:ascii="Times New Roman" w:hAnsi="Times New Roman"/>
          <w:sz w:val="24"/>
        </w:rPr>
        <w:t xml:space="preserve">ритериям </w:t>
      </w:r>
      <w:r w:rsidR="00B05352">
        <w:rPr>
          <w:rFonts w:ascii="Times New Roman" w:hAnsi="Times New Roman"/>
          <w:sz w:val="24"/>
        </w:rPr>
        <w:t xml:space="preserve">технической оценки </w:t>
      </w:r>
      <w:r w:rsidR="003B7C92">
        <w:rPr>
          <w:rFonts w:ascii="Times New Roman" w:hAnsi="Times New Roman"/>
          <w:sz w:val="24"/>
        </w:rPr>
        <w:t>контрагентов для оценки и выбор</w:t>
      </w:r>
      <w:r w:rsidR="00C060FF">
        <w:rPr>
          <w:rFonts w:ascii="Times New Roman" w:hAnsi="Times New Roman"/>
          <w:sz w:val="24"/>
        </w:rPr>
        <w:t>а</w:t>
      </w:r>
      <w:r w:rsidR="003B7C92">
        <w:rPr>
          <w:rFonts w:ascii="Times New Roman" w:hAnsi="Times New Roman"/>
          <w:sz w:val="24"/>
        </w:rPr>
        <w:t xml:space="preserve"> подрядных организаций на проведение работ</w:t>
      </w:r>
      <w:r w:rsidR="00B05352" w:rsidRPr="008D5E0A">
        <w:rPr>
          <w:rFonts w:ascii="Times New Roman" w:hAnsi="Times New Roman"/>
          <w:sz w:val="24"/>
        </w:rPr>
        <w:t xml:space="preserve"> по тип</w:t>
      </w:r>
      <w:r w:rsidR="00B05352">
        <w:rPr>
          <w:rFonts w:ascii="Times New Roman" w:hAnsi="Times New Roman"/>
          <w:sz w:val="24"/>
        </w:rPr>
        <w:t>у</w:t>
      </w:r>
      <w:r w:rsidR="00B05352" w:rsidRPr="008D5E0A">
        <w:rPr>
          <w:rFonts w:ascii="Times New Roman" w:hAnsi="Times New Roman"/>
          <w:sz w:val="24"/>
        </w:rPr>
        <w:t xml:space="preserve"> сделк</w:t>
      </w:r>
      <w:r w:rsidR="00B05352">
        <w:rPr>
          <w:rFonts w:ascii="Times New Roman" w:hAnsi="Times New Roman"/>
          <w:sz w:val="24"/>
        </w:rPr>
        <w:t>и</w:t>
      </w:r>
      <w:r w:rsidR="00B05352" w:rsidRPr="008D5E0A">
        <w:rPr>
          <w:rFonts w:ascii="Times New Roman" w:hAnsi="Times New Roman"/>
          <w:b/>
          <w:sz w:val="24"/>
        </w:rPr>
        <w:t xml:space="preserve"> </w:t>
      </w:r>
      <w:r w:rsidR="00A2665F">
        <w:rPr>
          <w:rFonts w:ascii="Times New Roman" w:hAnsi="Times New Roman"/>
          <w:sz w:val="24"/>
        </w:rPr>
        <w:t>1024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A2665F">
        <w:rPr>
          <w:rFonts w:ascii="Times New Roman" w:hAnsi="Times New Roman"/>
          <w:sz w:val="23"/>
          <w:szCs w:val="23"/>
          <w:u w:val="single"/>
        </w:rPr>
        <w:t>Оказание сервисных услуг по сервисному обслуживанию и ремонту дозировочной техники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34689A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230F80" w:rsidRPr="00C060FF" w:rsidRDefault="00B05352" w:rsidP="00E56069">
      <w:pPr>
        <w:pStyle w:val="ab"/>
        <w:numPr>
          <w:ilvl w:val="0"/>
          <w:numId w:val="18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8D5E0A">
        <w:rPr>
          <w:rFonts w:ascii="Times New Roman" w:hAnsi="Times New Roman"/>
          <w:sz w:val="24"/>
        </w:rPr>
        <w:t>Предоставление полного пакета документов к «</w:t>
      </w:r>
      <w:r w:rsidR="00C060FF">
        <w:rPr>
          <w:rFonts w:ascii="Times New Roman" w:hAnsi="Times New Roman"/>
          <w:sz w:val="24"/>
        </w:rPr>
        <w:t>К</w:t>
      </w:r>
      <w:r w:rsidR="00C060FF" w:rsidRPr="008D5E0A">
        <w:rPr>
          <w:rFonts w:ascii="Times New Roman" w:hAnsi="Times New Roman"/>
          <w:sz w:val="24"/>
        </w:rPr>
        <w:t xml:space="preserve">ритериям </w:t>
      </w:r>
      <w:r w:rsidR="00C060FF">
        <w:rPr>
          <w:rFonts w:ascii="Times New Roman" w:hAnsi="Times New Roman"/>
          <w:sz w:val="24"/>
        </w:rPr>
        <w:t>технической оценки контрагентов для оценки и выбора подрядных организаций на проведение работ</w:t>
      </w:r>
      <w:r w:rsidR="00C060FF" w:rsidRPr="008D5E0A">
        <w:rPr>
          <w:rFonts w:ascii="Times New Roman" w:hAnsi="Times New Roman"/>
          <w:sz w:val="24"/>
        </w:rPr>
        <w:t xml:space="preserve"> по тип</w:t>
      </w:r>
      <w:r w:rsidR="00C060FF">
        <w:rPr>
          <w:rFonts w:ascii="Times New Roman" w:hAnsi="Times New Roman"/>
          <w:sz w:val="24"/>
        </w:rPr>
        <w:t>у</w:t>
      </w:r>
      <w:r w:rsidR="00C060FF" w:rsidRPr="008D5E0A">
        <w:rPr>
          <w:rFonts w:ascii="Times New Roman" w:hAnsi="Times New Roman"/>
          <w:sz w:val="24"/>
        </w:rPr>
        <w:t xml:space="preserve"> сделк</w:t>
      </w:r>
      <w:r w:rsidR="00C060FF"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A2665F">
        <w:rPr>
          <w:rFonts w:ascii="Times New Roman" w:hAnsi="Times New Roman"/>
          <w:sz w:val="24"/>
        </w:rPr>
        <w:t>1024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 w:rsidR="00A2665F">
        <w:rPr>
          <w:rFonts w:ascii="Times New Roman" w:hAnsi="Times New Roman"/>
          <w:sz w:val="23"/>
          <w:szCs w:val="23"/>
          <w:u w:val="single"/>
        </w:rPr>
        <w:t>Оказание сервисных услуг по сервисному обслуживанию и ремонту дозировочной техники</w:t>
      </w:r>
      <w:r w:rsidRPr="008D5E0A">
        <w:rPr>
          <w:rFonts w:ascii="Times New Roman" w:hAnsi="Times New Roman"/>
          <w:sz w:val="24"/>
          <w:u w:val="single"/>
        </w:rPr>
        <w:t>»</w:t>
      </w:r>
      <w:r w:rsidRPr="008D5E0A">
        <w:t xml:space="preserve"> </w:t>
      </w:r>
      <w:r w:rsidR="0034689A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C43822" w:rsidRDefault="00244B6E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="00DA0103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0103">
        <w:rPr>
          <w:rFonts w:ascii="Times New Roman" w:hAnsi="Times New Roman"/>
          <w:sz w:val="24"/>
        </w:rPr>
        <w:t>»;</w:t>
      </w:r>
    </w:p>
    <w:p w:rsidR="00C43822" w:rsidRPr="00FA4EC9" w:rsidRDefault="00B10BB2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 xml:space="preserve">Регламента </w:t>
      </w:r>
      <w:r w:rsidR="00C43822" w:rsidRPr="00FA4EC9">
        <w:rPr>
          <w:rFonts w:ascii="Times New Roman" w:hAnsi="Times New Roman"/>
          <w:sz w:val="24"/>
        </w:rPr>
        <w:t>взаимодействия структурных подразделений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»;</w:t>
      </w:r>
    </w:p>
    <w:p w:rsidR="008D5E0A" w:rsidRPr="000A6477" w:rsidRDefault="008D5E0A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Плана экстренного медицинского реагирования в Открытом акционерном обществе </w:t>
      </w:r>
      <w:r w:rsidR="00BE4B15">
        <w:rPr>
          <w:rFonts w:ascii="Times New Roman" w:hAnsi="Times New Roman"/>
          <w:color w:val="000000"/>
          <w:sz w:val="24"/>
        </w:rPr>
        <w:t>«</w:t>
      </w:r>
      <w:proofErr w:type="spellStart"/>
      <w:r>
        <w:rPr>
          <w:rFonts w:ascii="Times New Roman" w:hAnsi="Times New Roman"/>
          <w:color w:val="000000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color w:val="000000"/>
          <w:sz w:val="24"/>
        </w:rPr>
        <w:t>»;</w:t>
      </w:r>
    </w:p>
    <w:p w:rsidR="00BE4B15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BE4B15">
        <w:rPr>
          <w:rFonts w:ascii="Times New Roman" w:hAnsi="Times New Roman"/>
          <w:sz w:val="24"/>
        </w:rPr>
        <w:t>;</w:t>
      </w:r>
    </w:p>
    <w:p w:rsidR="00BE4B15" w:rsidRDefault="00BE4B15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Положение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DA33E8" w:rsidRPr="000A6477" w:rsidRDefault="00BE4B15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Регламента «Взаимодействия ОАО «СН-МНГ» с Подрядными организациями в процессе привлечения Субподрядных организаций»</w:t>
      </w:r>
      <w:r w:rsidR="00DA33E8" w:rsidRPr="000A6477">
        <w:rPr>
          <w:rFonts w:ascii="Times New Roman" w:hAnsi="Times New Roman"/>
          <w:sz w:val="24"/>
        </w:rPr>
        <w:t>.</w:t>
      </w: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210CED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210CED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877339" w:rsidRDefault="00877339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877339" w:rsidRPr="000127F9" w:rsidRDefault="00877339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877339" w:rsidRPr="000127F9" w:rsidRDefault="00877339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1A2DF9" w:rsidRDefault="001A2DF9" w:rsidP="000127F9">
      <w:pPr>
        <w:jc w:val="both"/>
        <w:rPr>
          <w:rFonts w:ascii="Times New Roman" w:hAnsi="Times New Roman"/>
          <w:sz w:val="24"/>
        </w:rPr>
      </w:pPr>
    </w:p>
    <w:p w:rsidR="00DE55A5" w:rsidRDefault="00DE55A5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B083A">
      <w:headerReference w:type="default" r:id="rId13"/>
      <w:pgSz w:w="11906" w:h="16838"/>
      <w:pgMar w:top="426" w:right="424" w:bottom="568" w:left="1134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FB7" w:rsidRDefault="00046FB7">
      <w:pPr>
        <w:spacing w:before="0"/>
      </w:pPr>
      <w:r>
        <w:separator/>
      </w:r>
    </w:p>
  </w:endnote>
  <w:endnote w:type="continuationSeparator" w:id="0">
    <w:p w:rsidR="00046FB7" w:rsidRDefault="00046FB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FB7" w:rsidRDefault="00046FB7">
      <w:pPr>
        <w:spacing w:before="0"/>
      </w:pPr>
      <w:r>
        <w:separator/>
      </w:r>
    </w:p>
  </w:footnote>
  <w:footnote w:type="continuationSeparator" w:id="0">
    <w:p w:rsidR="00046FB7" w:rsidRDefault="00046FB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046FB7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8"/>
  </w:num>
  <w:num w:numId="4">
    <w:abstractNumId w:val="19"/>
  </w:num>
  <w:num w:numId="5">
    <w:abstractNumId w:val="9"/>
  </w:num>
  <w:num w:numId="6">
    <w:abstractNumId w:val="14"/>
  </w:num>
  <w:num w:numId="7">
    <w:abstractNumId w:val="1"/>
  </w:num>
  <w:num w:numId="8">
    <w:abstractNumId w:val="2"/>
  </w:num>
  <w:num w:numId="9">
    <w:abstractNumId w:val="12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16"/>
  </w:num>
  <w:num w:numId="15">
    <w:abstractNumId w:val="6"/>
  </w:num>
  <w:num w:numId="16">
    <w:abstractNumId w:val="13"/>
  </w:num>
  <w:num w:numId="17">
    <w:abstractNumId w:val="17"/>
  </w:num>
  <w:num w:numId="18">
    <w:abstractNumId w:val="5"/>
  </w:num>
  <w:num w:numId="19">
    <w:abstractNumId w:val="0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63D4"/>
    <w:rsid w:val="000127F9"/>
    <w:rsid w:val="0004530B"/>
    <w:rsid w:val="00046FB7"/>
    <w:rsid w:val="00064B61"/>
    <w:rsid w:val="000A6477"/>
    <w:rsid w:val="000B2601"/>
    <w:rsid w:val="000C09D2"/>
    <w:rsid w:val="000F6EAA"/>
    <w:rsid w:val="0010000F"/>
    <w:rsid w:val="00100181"/>
    <w:rsid w:val="00103857"/>
    <w:rsid w:val="0010646E"/>
    <w:rsid w:val="00110472"/>
    <w:rsid w:val="001104B7"/>
    <w:rsid w:val="00114646"/>
    <w:rsid w:val="00123124"/>
    <w:rsid w:val="00157EA4"/>
    <w:rsid w:val="00163391"/>
    <w:rsid w:val="00185706"/>
    <w:rsid w:val="0018713E"/>
    <w:rsid w:val="001876F4"/>
    <w:rsid w:val="00195D98"/>
    <w:rsid w:val="001A2DF9"/>
    <w:rsid w:val="001A3589"/>
    <w:rsid w:val="001A39DE"/>
    <w:rsid w:val="001B6D6E"/>
    <w:rsid w:val="001C6CC4"/>
    <w:rsid w:val="001C7C15"/>
    <w:rsid w:val="001E2A1A"/>
    <w:rsid w:val="00203261"/>
    <w:rsid w:val="00210CED"/>
    <w:rsid w:val="00212BE7"/>
    <w:rsid w:val="00230F80"/>
    <w:rsid w:val="0024364E"/>
    <w:rsid w:val="00244B6E"/>
    <w:rsid w:val="002633B5"/>
    <w:rsid w:val="002645AA"/>
    <w:rsid w:val="00277969"/>
    <w:rsid w:val="002A4308"/>
    <w:rsid w:val="002A5103"/>
    <w:rsid w:val="002B083A"/>
    <w:rsid w:val="002D00B5"/>
    <w:rsid w:val="002E6752"/>
    <w:rsid w:val="002F4522"/>
    <w:rsid w:val="00303C67"/>
    <w:rsid w:val="0030705E"/>
    <w:rsid w:val="0030775A"/>
    <w:rsid w:val="0033013F"/>
    <w:rsid w:val="003340C3"/>
    <w:rsid w:val="003350FF"/>
    <w:rsid w:val="0034168E"/>
    <w:rsid w:val="003454B5"/>
    <w:rsid w:val="0034689A"/>
    <w:rsid w:val="003670AE"/>
    <w:rsid w:val="00370449"/>
    <w:rsid w:val="003730DD"/>
    <w:rsid w:val="00380227"/>
    <w:rsid w:val="00382A75"/>
    <w:rsid w:val="003A27C5"/>
    <w:rsid w:val="003A2B78"/>
    <w:rsid w:val="003A492B"/>
    <w:rsid w:val="003B7C92"/>
    <w:rsid w:val="003D03ED"/>
    <w:rsid w:val="003D5CCC"/>
    <w:rsid w:val="003E624E"/>
    <w:rsid w:val="003F1714"/>
    <w:rsid w:val="00403CA5"/>
    <w:rsid w:val="00404678"/>
    <w:rsid w:val="00433159"/>
    <w:rsid w:val="004341CF"/>
    <w:rsid w:val="004350C2"/>
    <w:rsid w:val="00475586"/>
    <w:rsid w:val="00487D2E"/>
    <w:rsid w:val="004902A4"/>
    <w:rsid w:val="00497F42"/>
    <w:rsid w:val="004D21C9"/>
    <w:rsid w:val="004D4A54"/>
    <w:rsid w:val="004D66A3"/>
    <w:rsid w:val="004E5AD6"/>
    <w:rsid w:val="004F4E44"/>
    <w:rsid w:val="004F546F"/>
    <w:rsid w:val="004F6B25"/>
    <w:rsid w:val="0051640B"/>
    <w:rsid w:val="005278AB"/>
    <w:rsid w:val="00546FD8"/>
    <w:rsid w:val="0055651B"/>
    <w:rsid w:val="00557C26"/>
    <w:rsid w:val="00565F5B"/>
    <w:rsid w:val="005762F9"/>
    <w:rsid w:val="00586FE4"/>
    <w:rsid w:val="005877E1"/>
    <w:rsid w:val="00591406"/>
    <w:rsid w:val="0059379A"/>
    <w:rsid w:val="005A45A5"/>
    <w:rsid w:val="005B0A3B"/>
    <w:rsid w:val="005C2984"/>
    <w:rsid w:val="005D48F3"/>
    <w:rsid w:val="005D5FE0"/>
    <w:rsid w:val="005F69BD"/>
    <w:rsid w:val="005F7876"/>
    <w:rsid w:val="006150ED"/>
    <w:rsid w:val="00634093"/>
    <w:rsid w:val="00637924"/>
    <w:rsid w:val="00643A99"/>
    <w:rsid w:val="006575C1"/>
    <w:rsid w:val="00692B1B"/>
    <w:rsid w:val="006B0867"/>
    <w:rsid w:val="006F47E3"/>
    <w:rsid w:val="007049F9"/>
    <w:rsid w:val="007144D1"/>
    <w:rsid w:val="0071550D"/>
    <w:rsid w:val="00736D94"/>
    <w:rsid w:val="00754F58"/>
    <w:rsid w:val="007A135E"/>
    <w:rsid w:val="007A5ECD"/>
    <w:rsid w:val="007B61E9"/>
    <w:rsid w:val="007C69D8"/>
    <w:rsid w:val="007D3874"/>
    <w:rsid w:val="007E0156"/>
    <w:rsid w:val="007E24D8"/>
    <w:rsid w:val="007E3A1D"/>
    <w:rsid w:val="007E4C24"/>
    <w:rsid w:val="007F3DBE"/>
    <w:rsid w:val="007F6427"/>
    <w:rsid w:val="007F74A6"/>
    <w:rsid w:val="00817444"/>
    <w:rsid w:val="00826247"/>
    <w:rsid w:val="008318C3"/>
    <w:rsid w:val="00837416"/>
    <w:rsid w:val="00845AEF"/>
    <w:rsid w:val="008671C1"/>
    <w:rsid w:val="00871AE9"/>
    <w:rsid w:val="00875B06"/>
    <w:rsid w:val="00877339"/>
    <w:rsid w:val="00877B60"/>
    <w:rsid w:val="00890111"/>
    <w:rsid w:val="008B5511"/>
    <w:rsid w:val="008C7542"/>
    <w:rsid w:val="008D4F06"/>
    <w:rsid w:val="008D5E0A"/>
    <w:rsid w:val="008D6F5A"/>
    <w:rsid w:val="008D71B1"/>
    <w:rsid w:val="008E3006"/>
    <w:rsid w:val="008F2B4A"/>
    <w:rsid w:val="008F2E0E"/>
    <w:rsid w:val="0092380D"/>
    <w:rsid w:val="009258E2"/>
    <w:rsid w:val="00937663"/>
    <w:rsid w:val="00942AC3"/>
    <w:rsid w:val="0096095C"/>
    <w:rsid w:val="00963583"/>
    <w:rsid w:val="00963D7F"/>
    <w:rsid w:val="00981FD5"/>
    <w:rsid w:val="009821F1"/>
    <w:rsid w:val="00996D20"/>
    <w:rsid w:val="009A35A4"/>
    <w:rsid w:val="009C792D"/>
    <w:rsid w:val="009D0283"/>
    <w:rsid w:val="00A16425"/>
    <w:rsid w:val="00A2665F"/>
    <w:rsid w:val="00A43B77"/>
    <w:rsid w:val="00A44017"/>
    <w:rsid w:val="00A550A9"/>
    <w:rsid w:val="00A607D0"/>
    <w:rsid w:val="00A62A92"/>
    <w:rsid w:val="00A64528"/>
    <w:rsid w:val="00A64703"/>
    <w:rsid w:val="00A819C2"/>
    <w:rsid w:val="00A82139"/>
    <w:rsid w:val="00A8307D"/>
    <w:rsid w:val="00A8439F"/>
    <w:rsid w:val="00AA5A52"/>
    <w:rsid w:val="00AB12F9"/>
    <w:rsid w:val="00AB163B"/>
    <w:rsid w:val="00AC0322"/>
    <w:rsid w:val="00AC0C01"/>
    <w:rsid w:val="00AC3E82"/>
    <w:rsid w:val="00AD4C01"/>
    <w:rsid w:val="00AD5261"/>
    <w:rsid w:val="00B05352"/>
    <w:rsid w:val="00B10BB2"/>
    <w:rsid w:val="00B1596B"/>
    <w:rsid w:val="00B21C57"/>
    <w:rsid w:val="00B419EF"/>
    <w:rsid w:val="00B64CBC"/>
    <w:rsid w:val="00B77356"/>
    <w:rsid w:val="00B86E53"/>
    <w:rsid w:val="00BA77CE"/>
    <w:rsid w:val="00BC0B07"/>
    <w:rsid w:val="00BC44E4"/>
    <w:rsid w:val="00BD40B8"/>
    <w:rsid w:val="00BD5B3B"/>
    <w:rsid w:val="00BE4B15"/>
    <w:rsid w:val="00C060FF"/>
    <w:rsid w:val="00C064D2"/>
    <w:rsid w:val="00C10757"/>
    <w:rsid w:val="00C10BEF"/>
    <w:rsid w:val="00C3199D"/>
    <w:rsid w:val="00C43822"/>
    <w:rsid w:val="00C54AA9"/>
    <w:rsid w:val="00C55B89"/>
    <w:rsid w:val="00C60AAC"/>
    <w:rsid w:val="00C624E9"/>
    <w:rsid w:val="00CA057C"/>
    <w:rsid w:val="00CA10C5"/>
    <w:rsid w:val="00CB3678"/>
    <w:rsid w:val="00CD62A3"/>
    <w:rsid w:val="00CE0D94"/>
    <w:rsid w:val="00CE14C3"/>
    <w:rsid w:val="00CE38F5"/>
    <w:rsid w:val="00D15D06"/>
    <w:rsid w:val="00D55663"/>
    <w:rsid w:val="00D55AFF"/>
    <w:rsid w:val="00D57732"/>
    <w:rsid w:val="00D85647"/>
    <w:rsid w:val="00D92DED"/>
    <w:rsid w:val="00D95F9E"/>
    <w:rsid w:val="00DA0103"/>
    <w:rsid w:val="00DA07D4"/>
    <w:rsid w:val="00DA33E8"/>
    <w:rsid w:val="00DA554C"/>
    <w:rsid w:val="00DC3C1A"/>
    <w:rsid w:val="00DC6707"/>
    <w:rsid w:val="00DD070C"/>
    <w:rsid w:val="00DE55A5"/>
    <w:rsid w:val="00E05954"/>
    <w:rsid w:val="00E17768"/>
    <w:rsid w:val="00E3118B"/>
    <w:rsid w:val="00E4090D"/>
    <w:rsid w:val="00E56069"/>
    <w:rsid w:val="00E63543"/>
    <w:rsid w:val="00E96D84"/>
    <w:rsid w:val="00EA0059"/>
    <w:rsid w:val="00EA211E"/>
    <w:rsid w:val="00EA2C02"/>
    <w:rsid w:val="00EA7411"/>
    <w:rsid w:val="00EB30F3"/>
    <w:rsid w:val="00ED3854"/>
    <w:rsid w:val="00EF7057"/>
    <w:rsid w:val="00F00D7B"/>
    <w:rsid w:val="00F024FC"/>
    <w:rsid w:val="00F0465D"/>
    <w:rsid w:val="00F24DB3"/>
    <w:rsid w:val="00F24F77"/>
    <w:rsid w:val="00F3476B"/>
    <w:rsid w:val="00F52E67"/>
    <w:rsid w:val="00F937CE"/>
    <w:rsid w:val="00F96C0B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BodyTextIndent31">
    <w:name w:val="Body Text Indent 31"/>
    <w:basedOn w:val="a0"/>
    <w:uiPriority w:val="99"/>
    <w:rsid w:val="002A4308"/>
    <w:pPr>
      <w:ind w:firstLine="567"/>
      <w:jc w:val="both"/>
    </w:pPr>
    <w:rPr>
      <w:snapToGrid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BodyTextIndent31">
    <w:name w:val="Body Text Indent 31"/>
    <w:basedOn w:val="a0"/>
    <w:uiPriority w:val="99"/>
    <w:rsid w:val="002A4308"/>
    <w:pPr>
      <w:ind w:firstLine="567"/>
      <w:jc w:val="both"/>
    </w:pPr>
    <w:rPr>
      <w:snapToGrid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zinMG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okarevaVA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vanovDV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93830-D629-4403-8A6C-FE2EE703E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2049</TotalTime>
  <Pages>8</Pages>
  <Words>2619</Words>
  <Characters>14933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Светлана Владимировна Морозова</cp:lastModifiedBy>
  <cp:revision>47</cp:revision>
  <cp:lastPrinted>2014-09-20T05:53:00Z</cp:lastPrinted>
  <dcterms:created xsi:type="dcterms:W3CDTF">2014-08-04T11:36:00Z</dcterms:created>
  <dcterms:modified xsi:type="dcterms:W3CDTF">2014-09-26T05:42:00Z</dcterms:modified>
</cp:coreProperties>
</file>