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C55C6" w:rsidRDefault="00203261" w:rsidP="001F6078">
      <w:pPr>
        <w:spacing w:before="0"/>
        <w:jc w:val="right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C55C6" w:rsidRPr="003C55C6" w:rsidTr="00B11F3F">
        <w:trPr>
          <w:trHeight w:val="369"/>
        </w:trPr>
        <w:tc>
          <w:tcPr>
            <w:tcW w:w="5103" w:type="dxa"/>
          </w:tcPr>
          <w:p w:rsidR="00203261" w:rsidRPr="003C55C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F6078" w:rsidRPr="003C55C6" w:rsidRDefault="001F6078" w:rsidP="001F6078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203261" w:rsidRPr="003C55C6" w:rsidRDefault="00203261" w:rsidP="001F607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C55C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C55C6" w:rsidRPr="003C55C6" w:rsidTr="001F6078">
        <w:trPr>
          <w:trHeight w:val="301"/>
        </w:trPr>
        <w:tc>
          <w:tcPr>
            <w:tcW w:w="5103" w:type="dxa"/>
          </w:tcPr>
          <w:p w:rsidR="00203261" w:rsidRPr="003C55C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C55C6" w:rsidRDefault="00203261" w:rsidP="001F607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C55C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C55C6" w:rsidRPr="003C55C6" w:rsidTr="00B11F3F">
        <w:trPr>
          <w:trHeight w:val="391"/>
        </w:trPr>
        <w:tc>
          <w:tcPr>
            <w:tcW w:w="5103" w:type="dxa"/>
          </w:tcPr>
          <w:p w:rsidR="00203261" w:rsidRPr="003C55C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C55C6" w:rsidRDefault="00203261" w:rsidP="00F366D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C55C6">
              <w:rPr>
                <w:rFonts w:ascii="Times New Roman" w:hAnsi="Times New Roman"/>
                <w:sz w:val="24"/>
              </w:rPr>
              <w:t>Протокол  № _</w:t>
            </w:r>
            <w:r w:rsidR="00F366D4">
              <w:rPr>
                <w:rFonts w:ascii="Times New Roman" w:hAnsi="Times New Roman"/>
                <w:sz w:val="24"/>
              </w:rPr>
              <w:t>300</w:t>
            </w:r>
            <w:r w:rsidRPr="003C55C6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C55C6" w:rsidRPr="003C55C6" w:rsidTr="001F6078">
        <w:trPr>
          <w:trHeight w:val="113"/>
        </w:trPr>
        <w:tc>
          <w:tcPr>
            <w:tcW w:w="5103" w:type="dxa"/>
          </w:tcPr>
          <w:p w:rsidR="00203261" w:rsidRPr="003C55C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C55C6" w:rsidRDefault="00203261" w:rsidP="00F366D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C55C6">
              <w:rPr>
                <w:rFonts w:ascii="Times New Roman" w:hAnsi="Times New Roman"/>
                <w:sz w:val="24"/>
              </w:rPr>
              <w:t>«_</w:t>
            </w:r>
            <w:r w:rsidR="00F366D4">
              <w:rPr>
                <w:rFonts w:ascii="Times New Roman" w:hAnsi="Times New Roman"/>
                <w:sz w:val="24"/>
              </w:rPr>
              <w:t>02</w:t>
            </w:r>
            <w:r w:rsidRPr="003C55C6">
              <w:rPr>
                <w:rFonts w:ascii="Times New Roman" w:hAnsi="Times New Roman"/>
                <w:sz w:val="24"/>
              </w:rPr>
              <w:t>_» ___</w:t>
            </w:r>
            <w:r w:rsidR="00F366D4">
              <w:rPr>
                <w:rFonts w:ascii="Times New Roman" w:hAnsi="Times New Roman"/>
                <w:sz w:val="24"/>
              </w:rPr>
              <w:t>10</w:t>
            </w:r>
            <w:r w:rsidRPr="003C55C6">
              <w:rPr>
                <w:rFonts w:ascii="Times New Roman" w:hAnsi="Times New Roman"/>
                <w:sz w:val="24"/>
              </w:rPr>
              <w:t>______  _</w:t>
            </w:r>
            <w:r w:rsidR="00F366D4">
              <w:rPr>
                <w:rFonts w:ascii="Times New Roman" w:hAnsi="Times New Roman"/>
                <w:sz w:val="24"/>
              </w:rPr>
              <w:t>2014</w:t>
            </w:r>
            <w:r w:rsidRPr="003C55C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3C55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40B15" w:rsidRPr="003C55C6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540B15" w:rsidRPr="003C55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ПДО №</w:t>
      </w:r>
      <w:r w:rsidR="00540B15" w:rsidRPr="003C55C6">
        <w:rPr>
          <w:rFonts w:ascii="Times New Roman" w:hAnsi="Times New Roman"/>
          <w:b/>
          <w:sz w:val="24"/>
        </w:rPr>
        <w:t>52</w:t>
      </w:r>
      <w:r w:rsidR="003E2AC2" w:rsidRPr="003C55C6">
        <w:rPr>
          <w:rFonts w:ascii="Times New Roman" w:hAnsi="Times New Roman"/>
          <w:b/>
          <w:sz w:val="24"/>
        </w:rPr>
        <w:t>7</w:t>
      </w:r>
      <w:r w:rsidR="00E973F5" w:rsidRPr="003C55C6">
        <w:rPr>
          <w:rFonts w:ascii="Times New Roman" w:hAnsi="Times New Roman"/>
          <w:b/>
          <w:sz w:val="24"/>
        </w:rPr>
        <w:t xml:space="preserve">/ТК/2014г. от </w:t>
      </w:r>
      <w:r w:rsidR="0097661B" w:rsidRPr="003C55C6">
        <w:rPr>
          <w:rFonts w:ascii="Times New Roman" w:hAnsi="Times New Roman"/>
          <w:b/>
          <w:sz w:val="24"/>
        </w:rPr>
        <w:t>«</w:t>
      </w:r>
      <w:r w:rsidR="006D16A2">
        <w:rPr>
          <w:rFonts w:ascii="Times New Roman" w:hAnsi="Times New Roman"/>
          <w:b/>
          <w:sz w:val="24"/>
        </w:rPr>
        <w:t>02</w:t>
      </w:r>
      <w:r w:rsidR="0097661B" w:rsidRPr="003C55C6">
        <w:rPr>
          <w:rFonts w:ascii="Times New Roman" w:hAnsi="Times New Roman"/>
          <w:b/>
          <w:sz w:val="24"/>
        </w:rPr>
        <w:t>» __</w:t>
      </w:r>
      <w:r w:rsidR="006D16A2">
        <w:rPr>
          <w:rFonts w:ascii="Times New Roman" w:hAnsi="Times New Roman"/>
          <w:b/>
          <w:sz w:val="24"/>
        </w:rPr>
        <w:t>10</w:t>
      </w:r>
      <w:r w:rsidR="0097661B" w:rsidRPr="003C55C6">
        <w:rPr>
          <w:rFonts w:ascii="Times New Roman" w:hAnsi="Times New Roman"/>
          <w:b/>
          <w:sz w:val="24"/>
        </w:rPr>
        <w:t xml:space="preserve">__ </w:t>
      </w:r>
      <w:r w:rsidR="00411973" w:rsidRPr="003C55C6">
        <w:rPr>
          <w:rFonts w:ascii="Times New Roman" w:hAnsi="Times New Roman"/>
          <w:b/>
          <w:sz w:val="24"/>
        </w:rPr>
        <w:t>2014г</w:t>
      </w:r>
      <w:r w:rsidRPr="003C55C6">
        <w:rPr>
          <w:rFonts w:ascii="Times New Roman" w:hAnsi="Times New Roman"/>
          <w:b/>
          <w:sz w:val="24"/>
        </w:rPr>
        <w:t>.</w:t>
      </w:r>
    </w:p>
    <w:p w:rsidR="00600E1A" w:rsidRPr="003C55C6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ОАО «СН-МНГ»</w:t>
      </w:r>
      <w:r w:rsidRPr="003C55C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C55C6">
        <w:rPr>
          <w:rFonts w:ascii="Times New Roman" w:hAnsi="Times New Roman"/>
          <w:b/>
          <w:sz w:val="24"/>
        </w:rPr>
        <w:t xml:space="preserve">типу сделки </w:t>
      </w:r>
      <w:r w:rsidR="00EB6927" w:rsidRPr="003C55C6">
        <w:rPr>
          <w:rFonts w:ascii="Times New Roman" w:hAnsi="Times New Roman"/>
          <w:b/>
          <w:sz w:val="24"/>
        </w:rPr>
        <w:t>1311 «</w:t>
      </w:r>
      <w:r w:rsidR="00EB6927" w:rsidRPr="003C55C6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00E1A" w:rsidRPr="003C55C6">
        <w:rPr>
          <w:rFonts w:ascii="Times New Roman" w:hAnsi="Times New Roman"/>
          <w:b/>
          <w:sz w:val="28"/>
        </w:rPr>
        <w:t>.</w:t>
      </w:r>
    </w:p>
    <w:p w:rsidR="000B2601" w:rsidRPr="003C55C6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C55C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C55C6">
        <w:rPr>
          <w:rFonts w:ascii="Times New Roman" w:hAnsi="Times New Roman"/>
          <w:sz w:val="24"/>
        </w:rPr>
        <w:t>ов</w:t>
      </w:r>
      <w:proofErr w:type="spellEnd"/>
      <w:r w:rsidR="00E973F5" w:rsidRPr="003C55C6">
        <w:rPr>
          <w:rFonts w:ascii="Times New Roman" w:hAnsi="Times New Roman"/>
          <w:sz w:val="24"/>
        </w:rPr>
        <w:t>), с которым (</w:t>
      </w:r>
      <w:r w:rsidRPr="003C55C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C55C6" w:rsidRDefault="000B2601" w:rsidP="00F0517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C55C6">
        <w:rPr>
          <w:rFonts w:ascii="Times New Roman" w:hAnsi="Times New Roman"/>
          <w:sz w:val="24"/>
        </w:rPr>
        <w:t>4 (</w:t>
      </w:r>
      <w:r w:rsidR="004F7870" w:rsidRPr="003C55C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C55C6">
        <w:rPr>
          <w:rFonts w:ascii="Times New Roman" w:hAnsi="Times New Roman"/>
          <w:sz w:val="24"/>
        </w:rPr>
        <w:t>.</w:t>
      </w:r>
      <w:r w:rsidR="00F05172" w:rsidRPr="003C55C6">
        <w:rPr>
          <w:rFonts w:ascii="Times New Roman" w:hAnsi="Times New Roman"/>
          <w:sz w:val="24"/>
        </w:rPr>
        <w:t xml:space="preserve"> </w:t>
      </w:r>
      <w:r w:rsidR="00E17768" w:rsidRPr="003C55C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C55C6" w:rsidRDefault="00E17768" w:rsidP="001F6078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ОАО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3C55C6" w:rsidRDefault="00203261" w:rsidP="001F60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C55C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  <w:r w:rsidR="001F6078" w:rsidRPr="003C55C6">
        <w:rPr>
          <w:rFonts w:ascii="Times New Roman" w:hAnsi="Times New Roman"/>
          <w:b/>
          <w:sz w:val="24"/>
        </w:rPr>
        <w:t xml:space="preserve"> </w:t>
      </w:r>
      <w:r w:rsidR="00753978" w:rsidRPr="003C55C6">
        <w:rPr>
          <w:rFonts w:ascii="Times New Roman" w:hAnsi="Times New Roman"/>
          <w:sz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C190F" w:rsidRPr="003C55C6">
        <w:rPr>
          <w:rFonts w:ascii="Times New Roman" w:hAnsi="Times New Roman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3C55C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  <w:r w:rsidR="001F6078" w:rsidRPr="003C55C6">
        <w:rPr>
          <w:rFonts w:ascii="Times New Roman" w:hAnsi="Times New Roman"/>
          <w:sz w:val="24"/>
        </w:rPr>
        <w:t xml:space="preserve"> </w:t>
      </w:r>
      <w:r w:rsidR="00E17768" w:rsidRPr="003C55C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F05172" w:rsidRPr="003C55C6" w:rsidRDefault="00203261" w:rsidP="00F0517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C55C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C55C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C55C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заполненн</w:t>
      </w:r>
      <w:r w:rsidR="004F7870" w:rsidRPr="003C55C6">
        <w:rPr>
          <w:rFonts w:ascii="Times New Roman" w:hAnsi="Times New Roman"/>
          <w:sz w:val="24"/>
        </w:rPr>
        <w:t>ый</w:t>
      </w:r>
      <w:r w:rsidRPr="003C55C6">
        <w:rPr>
          <w:rFonts w:ascii="Times New Roman" w:hAnsi="Times New Roman"/>
          <w:sz w:val="24"/>
        </w:rPr>
        <w:t xml:space="preserve"> </w:t>
      </w:r>
      <w:r w:rsidR="004F7870" w:rsidRPr="003C55C6">
        <w:rPr>
          <w:rFonts w:ascii="Times New Roman" w:hAnsi="Times New Roman"/>
          <w:sz w:val="24"/>
        </w:rPr>
        <w:t>детализированный график производства работ</w:t>
      </w:r>
      <w:r w:rsidRPr="003C55C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C55C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C55C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C55C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заполненн</w:t>
      </w:r>
      <w:r w:rsidR="004B3BF2" w:rsidRPr="003C55C6">
        <w:rPr>
          <w:rFonts w:ascii="Times New Roman" w:hAnsi="Times New Roman"/>
          <w:sz w:val="24"/>
        </w:rPr>
        <w:t>ый</w:t>
      </w:r>
      <w:r w:rsidRPr="003C55C6">
        <w:rPr>
          <w:rFonts w:ascii="Times New Roman" w:hAnsi="Times New Roman"/>
          <w:sz w:val="24"/>
        </w:rPr>
        <w:t xml:space="preserve"> и подписанн</w:t>
      </w:r>
      <w:r w:rsidR="004B3BF2" w:rsidRPr="003C55C6">
        <w:rPr>
          <w:rFonts w:ascii="Times New Roman" w:hAnsi="Times New Roman"/>
          <w:sz w:val="24"/>
        </w:rPr>
        <w:t>ый</w:t>
      </w:r>
      <w:r w:rsidRPr="003C55C6">
        <w:rPr>
          <w:rFonts w:ascii="Times New Roman" w:hAnsi="Times New Roman"/>
          <w:sz w:val="24"/>
        </w:rPr>
        <w:t xml:space="preserve"> </w:t>
      </w:r>
      <w:r w:rsidR="004B3BF2" w:rsidRPr="003C55C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C55C6">
        <w:rPr>
          <w:rFonts w:ascii="Times New Roman" w:hAnsi="Times New Roman"/>
          <w:sz w:val="24"/>
        </w:rPr>
        <w:t>(Форма 8</w:t>
      </w:r>
      <w:r w:rsidR="006C2B73" w:rsidRPr="003C55C6">
        <w:rPr>
          <w:rFonts w:ascii="Times New Roman" w:hAnsi="Times New Roman"/>
          <w:sz w:val="24"/>
        </w:rPr>
        <w:t xml:space="preserve"> с приложениями </w:t>
      </w:r>
      <w:r w:rsidR="00743443" w:rsidRPr="003C55C6">
        <w:rPr>
          <w:rFonts w:ascii="Times New Roman" w:hAnsi="Times New Roman"/>
          <w:sz w:val="24"/>
        </w:rPr>
        <w:t>№1,2,3</w:t>
      </w:r>
      <w:r w:rsidR="00685E40" w:rsidRPr="003C55C6">
        <w:rPr>
          <w:rFonts w:ascii="Times New Roman" w:hAnsi="Times New Roman"/>
          <w:sz w:val="24"/>
        </w:rPr>
        <w:t>);</w:t>
      </w:r>
    </w:p>
    <w:p w:rsidR="00685E40" w:rsidRPr="003C55C6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C43C23" w:rsidRPr="003C55C6">
        <w:rPr>
          <w:rFonts w:ascii="Times New Roman" w:hAnsi="Times New Roman"/>
          <w:sz w:val="24"/>
        </w:rPr>
        <w:t>1311 «</w:t>
      </w:r>
      <w:r w:rsidR="00C43C23" w:rsidRPr="003C55C6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00E1A" w:rsidRPr="003C55C6">
        <w:rPr>
          <w:rFonts w:ascii="Times New Roman" w:hAnsi="Times New Roman"/>
          <w:sz w:val="24"/>
        </w:rPr>
        <w:t>.</w:t>
      </w:r>
      <w:r w:rsidRPr="003C55C6">
        <w:rPr>
          <w:rFonts w:ascii="Times New Roman" w:hAnsi="Times New Roman"/>
          <w:sz w:val="24"/>
        </w:rPr>
        <w:t xml:space="preserve"> (Форма 11).</w:t>
      </w:r>
    </w:p>
    <w:p w:rsidR="00E973F5" w:rsidRPr="003C55C6" w:rsidRDefault="00C73814" w:rsidP="001F6078">
      <w:pPr>
        <w:pStyle w:val="ab"/>
        <w:ind w:left="0" w:firstLine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  <w:r w:rsidR="00F05172" w:rsidRPr="003C55C6">
        <w:rPr>
          <w:rFonts w:ascii="Times New Roman" w:hAnsi="Times New Roman"/>
          <w:sz w:val="24"/>
        </w:rPr>
        <w:t xml:space="preserve"> </w:t>
      </w:r>
      <w:r w:rsidRPr="003C55C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3C55C6">
        <w:rPr>
          <w:rFonts w:ascii="Times New Roman" w:hAnsi="Times New Roman"/>
          <w:sz w:val="24"/>
        </w:rPr>
        <w:t xml:space="preserve"> (-) </w:t>
      </w:r>
      <w:proofErr w:type="gramEnd"/>
      <w:r w:rsidRPr="003C55C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40B15" w:rsidRPr="003C55C6" w:rsidRDefault="00203261" w:rsidP="001F607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Оферта предоставляется на русском языке.</w:t>
      </w:r>
    </w:p>
    <w:p w:rsidR="003C548D" w:rsidRDefault="003C548D" w:rsidP="003C548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«02» октября 2014года.</w:t>
      </w:r>
    </w:p>
    <w:p w:rsidR="003C548D" w:rsidRDefault="003C548D" w:rsidP="003C548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>
        <w:rPr>
          <w:rFonts w:ascii="Times New Roman" w:hAnsi="Times New Roman"/>
          <w:b/>
          <w:sz w:val="26"/>
          <w:szCs w:val="26"/>
        </w:rPr>
        <w:t>мск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3C548D" w:rsidRDefault="003C548D" w:rsidP="003C548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203261" w:rsidRPr="003C55C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203261" w:rsidRPr="003C55C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ОАО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C55C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C55C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C55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C55C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C55C6">
        <w:rPr>
          <w:rFonts w:ascii="Times New Roman" w:hAnsi="Times New Roman"/>
          <w:b/>
          <w:sz w:val="24"/>
        </w:rPr>
        <w:t>.</w:t>
      </w:r>
    </w:p>
    <w:p w:rsidR="00203261" w:rsidRPr="003C55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C55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C55C6">
        <w:rPr>
          <w:rFonts w:ascii="Times New Roman" w:hAnsi="Times New Roman"/>
          <w:sz w:val="24"/>
        </w:rPr>
        <w:t xml:space="preserve">ние по форме: </w:t>
      </w:r>
      <w:r w:rsidR="00875B06" w:rsidRPr="003C55C6">
        <w:rPr>
          <w:rFonts w:ascii="Times New Roman" w:hAnsi="Times New Roman"/>
          <w:b/>
          <w:sz w:val="24"/>
        </w:rPr>
        <w:t xml:space="preserve">«Предложение на </w:t>
      </w:r>
      <w:r w:rsidR="0097661B" w:rsidRPr="003C55C6">
        <w:rPr>
          <w:rFonts w:ascii="Times New Roman" w:hAnsi="Times New Roman"/>
          <w:b/>
          <w:sz w:val="24"/>
        </w:rPr>
        <w:t>№527/ТК/2014г. от «</w:t>
      </w:r>
      <w:r w:rsidR="00AC5FD2">
        <w:rPr>
          <w:rFonts w:ascii="Times New Roman" w:hAnsi="Times New Roman"/>
          <w:b/>
          <w:sz w:val="24"/>
        </w:rPr>
        <w:t>02</w:t>
      </w:r>
      <w:r w:rsidR="0097661B" w:rsidRPr="003C55C6">
        <w:rPr>
          <w:rFonts w:ascii="Times New Roman" w:hAnsi="Times New Roman"/>
          <w:b/>
          <w:sz w:val="24"/>
        </w:rPr>
        <w:t xml:space="preserve">» </w:t>
      </w:r>
      <w:r w:rsidR="00AC5FD2">
        <w:rPr>
          <w:rFonts w:ascii="Times New Roman" w:hAnsi="Times New Roman"/>
          <w:b/>
          <w:sz w:val="24"/>
        </w:rPr>
        <w:t>октября</w:t>
      </w:r>
      <w:r w:rsidR="0097661B" w:rsidRPr="003C55C6">
        <w:rPr>
          <w:rFonts w:ascii="Times New Roman" w:hAnsi="Times New Roman"/>
          <w:b/>
          <w:sz w:val="24"/>
        </w:rPr>
        <w:t xml:space="preserve"> 2014г</w:t>
      </w:r>
      <w:r w:rsidRPr="003C55C6">
        <w:rPr>
          <w:rFonts w:ascii="Times New Roman" w:hAnsi="Times New Roman"/>
          <w:b/>
          <w:sz w:val="24"/>
        </w:rPr>
        <w:t>».</w:t>
      </w:r>
    </w:p>
    <w:p w:rsidR="000022DD" w:rsidRPr="003C55C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3C55C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D25316" w:rsidRPr="003C55C6" w:rsidRDefault="00354102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Участник передает </w:t>
      </w:r>
      <w:r w:rsidR="00E973F5" w:rsidRPr="003C55C6">
        <w:rPr>
          <w:rFonts w:ascii="Times New Roman" w:hAnsi="Times New Roman"/>
          <w:b/>
          <w:sz w:val="24"/>
        </w:rPr>
        <w:t>четыре конверта</w:t>
      </w:r>
      <w:r w:rsidR="00E973F5" w:rsidRPr="003C55C6">
        <w:rPr>
          <w:rFonts w:ascii="Times New Roman" w:hAnsi="Times New Roman"/>
          <w:sz w:val="24"/>
        </w:rPr>
        <w:t xml:space="preserve"> документов: </w:t>
      </w:r>
      <w:r w:rsidR="00E973F5" w:rsidRPr="003C55C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C55C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3E2AC2" w:rsidRPr="003C55C6">
        <w:rPr>
          <w:rFonts w:ascii="Times New Roman" w:hAnsi="Times New Roman"/>
          <w:sz w:val="24"/>
        </w:rPr>
        <w:t>№1311 «</w:t>
      </w:r>
      <w:r w:rsidR="003E2AC2" w:rsidRPr="003C55C6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85E40" w:rsidRPr="003C55C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C55C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C55C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C55C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C55C6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3C55C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3C55C6">
        <w:rPr>
          <w:rFonts w:ascii="Times New Roman" w:hAnsi="Times New Roman"/>
          <w:sz w:val="24"/>
        </w:rPr>
        <w:t>заполненный и подписанный расчет договорной цены (Форма 8</w:t>
      </w:r>
      <w:r w:rsidR="006C2B73" w:rsidRPr="003C55C6">
        <w:rPr>
          <w:rFonts w:ascii="Times New Roman" w:hAnsi="Times New Roman"/>
          <w:sz w:val="24"/>
        </w:rPr>
        <w:t xml:space="preserve"> с приложениями </w:t>
      </w:r>
      <w:r w:rsidR="00743443" w:rsidRPr="003C55C6">
        <w:rPr>
          <w:rFonts w:ascii="Times New Roman" w:hAnsi="Times New Roman"/>
          <w:sz w:val="24"/>
        </w:rPr>
        <w:t>№1,2,3</w:t>
      </w:r>
      <w:r w:rsidR="004B3BF2" w:rsidRPr="003C55C6">
        <w:rPr>
          <w:rFonts w:ascii="Times New Roman" w:hAnsi="Times New Roman"/>
          <w:sz w:val="24"/>
        </w:rPr>
        <w:t xml:space="preserve">); </w:t>
      </w:r>
      <w:r w:rsidR="00E973F5" w:rsidRPr="003C55C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C55C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3C55C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i/>
          <w:sz w:val="24"/>
        </w:rPr>
        <w:t>В конверт с пометкой «Оригинал» вкладывается</w:t>
      </w:r>
      <w:r w:rsidRPr="003C55C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C55C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C55C6">
        <w:rPr>
          <w:rFonts w:ascii="Times New Roman" w:hAnsi="Times New Roman"/>
          <w:sz w:val="24"/>
        </w:rPr>
        <w:t xml:space="preserve"> </w:t>
      </w:r>
      <w:r w:rsidR="00BE3851" w:rsidRPr="003C55C6">
        <w:rPr>
          <w:rFonts w:ascii="Times New Roman" w:hAnsi="Times New Roman"/>
          <w:sz w:val="24"/>
        </w:rPr>
        <w:t>Формы 8</w:t>
      </w:r>
      <w:r w:rsidR="006C2B73" w:rsidRPr="003C55C6">
        <w:rPr>
          <w:rFonts w:ascii="Times New Roman" w:hAnsi="Times New Roman"/>
          <w:sz w:val="24"/>
        </w:rPr>
        <w:t xml:space="preserve"> с приложениями </w:t>
      </w:r>
      <w:r w:rsidR="00743443" w:rsidRPr="003C55C6">
        <w:rPr>
          <w:rFonts w:ascii="Times New Roman" w:hAnsi="Times New Roman"/>
          <w:sz w:val="24"/>
        </w:rPr>
        <w:t>№1,2,3</w:t>
      </w:r>
      <w:r w:rsidR="00BE3851" w:rsidRPr="003C55C6">
        <w:rPr>
          <w:rFonts w:ascii="Times New Roman" w:hAnsi="Times New Roman"/>
          <w:sz w:val="24"/>
        </w:rPr>
        <w:t xml:space="preserve"> (расшифровка по стоимости затрат)</w:t>
      </w:r>
      <w:r w:rsidRPr="003C55C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44E2D" w:rsidRPr="003C55C6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3C55C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3C55C6">
        <w:rPr>
          <w:rFonts w:ascii="Times New Roman" w:hAnsi="Times New Roman"/>
          <w:b/>
          <w:sz w:val="24"/>
        </w:rPr>
        <w:t>Мегион</w:t>
      </w:r>
      <w:proofErr w:type="spellEnd"/>
      <w:r w:rsidRPr="003C55C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C55C6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C55C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3C55C6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Pr="003C55C6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46D75" w:rsidRPr="003C55C6" w:rsidRDefault="00446D75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46D75" w:rsidRPr="003C55C6" w:rsidRDefault="00446D75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3C55C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C55C6" w:rsidRDefault="00203261" w:rsidP="00AC5FD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ОАО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C55C6">
        <w:rPr>
          <w:rFonts w:ascii="Times New Roman" w:hAnsi="Times New Roman"/>
          <w:b/>
          <w:sz w:val="24"/>
        </w:rPr>
        <w:t>«</w:t>
      </w:r>
      <w:r w:rsidR="00807E7A" w:rsidRPr="003C55C6">
        <w:rPr>
          <w:rFonts w:ascii="Times New Roman" w:hAnsi="Times New Roman"/>
          <w:b/>
          <w:sz w:val="24"/>
        </w:rPr>
        <w:t xml:space="preserve"> </w:t>
      </w:r>
      <w:r w:rsidR="00AC5FD2">
        <w:rPr>
          <w:rFonts w:ascii="Times New Roman" w:hAnsi="Times New Roman"/>
          <w:b/>
          <w:sz w:val="24"/>
        </w:rPr>
        <w:t>10</w:t>
      </w:r>
      <w:r w:rsidR="00D95F9E" w:rsidRPr="003C55C6">
        <w:rPr>
          <w:rFonts w:ascii="Times New Roman" w:hAnsi="Times New Roman"/>
          <w:b/>
          <w:sz w:val="24"/>
        </w:rPr>
        <w:t xml:space="preserve">» </w:t>
      </w:r>
      <w:r w:rsidR="00AC5FD2">
        <w:rPr>
          <w:rFonts w:ascii="Times New Roman" w:hAnsi="Times New Roman"/>
          <w:b/>
          <w:sz w:val="24"/>
        </w:rPr>
        <w:t>октября</w:t>
      </w:r>
      <w:r w:rsidR="00807E7A" w:rsidRPr="003C55C6">
        <w:rPr>
          <w:rFonts w:ascii="Times New Roman" w:hAnsi="Times New Roman"/>
          <w:b/>
          <w:sz w:val="24"/>
          <w:u w:val="single"/>
        </w:rPr>
        <w:t xml:space="preserve">                          </w:t>
      </w:r>
      <w:r w:rsidR="00807E7A" w:rsidRPr="003C55C6">
        <w:rPr>
          <w:rFonts w:ascii="Times New Roman" w:hAnsi="Times New Roman"/>
          <w:b/>
          <w:sz w:val="24"/>
        </w:rPr>
        <w:t xml:space="preserve">  </w:t>
      </w:r>
      <w:r w:rsidR="00D95F9E" w:rsidRPr="003C55C6">
        <w:rPr>
          <w:rFonts w:ascii="Times New Roman" w:hAnsi="Times New Roman"/>
          <w:b/>
          <w:sz w:val="24"/>
        </w:rPr>
        <w:t>2014</w:t>
      </w:r>
      <w:r w:rsidRPr="003C55C6">
        <w:rPr>
          <w:rFonts w:ascii="Times New Roman" w:hAnsi="Times New Roman"/>
          <w:b/>
          <w:sz w:val="24"/>
        </w:rPr>
        <w:t>года</w:t>
      </w:r>
      <w:r w:rsidRPr="003C55C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C55C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Лещенко Евгений Владимирович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C55C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C55C6">
        <w:rPr>
          <w:rFonts w:ascii="Times New Roman" w:hAnsi="Times New Roman"/>
          <w:sz w:val="24"/>
        </w:rPr>
        <w:t xml:space="preserve">; 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C55C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Начальник департамента</w:t>
      </w:r>
      <w:r w:rsidR="00D95F9E" w:rsidRPr="003C55C6">
        <w:rPr>
          <w:rFonts w:ascii="Times New Roman" w:hAnsi="Times New Roman"/>
          <w:sz w:val="24"/>
        </w:rPr>
        <w:t xml:space="preserve"> </w:t>
      </w:r>
      <w:r w:rsidRPr="003C55C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C55C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C55C6">
        <w:rPr>
          <w:rFonts w:ascii="Times New Roman" w:hAnsi="Times New Roman"/>
          <w:sz w:val="24"/>
        </w:rPr>
        <w:t>Галлямов</w:t>
      </w:r>
      <w:proofErr w:type="spellEnd"/>
      <w:r w:rsidRPr="003C55C6">
        <w:rPr>
          <w:rFonts w:ascii="Times New Roman" w:hAnsi="Times New Roman"/>
          <w:sz w:val="24"/>
        </w:rPr>
        <w:t xml:space="preserve"> Ринат </w:t>
      </w:r>
      <w:proofErr w:type="spellStart"/>
      <w:r w:rsidRPr="003C55C6">
        <w:rPr>
          <w:rFonts w:ascii="Times New Roman" w:hAnsi="Times New Roman"/>
          <w:sz w:val="24"/>
        </w:rPr>
        <w:t>Юсубович</w:t>
      </w:r>
      <w:proofErr w:type="spellEnd"/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тел. (34643) 41-</w:t>
      </w:r>
      <w:r w:rsidR="0014228E" w:rsidRPr="003C55C6">
        <w:rPr>
          <w:rFonts w:ascii="Times New Roman" w:hAnsi="Times New Roman"/>
          <w:sz w:val="24"/>
        </w:rPr>
        <w:t>793</w:t>
      </w:r>
      <w:r w:rsidRPr="003C55C6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C55C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C55C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C55C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C55C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C55C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C55C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C55C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C55C6">
        <w:rPr>
          <w:rFonts w:ascii="Times New Roman" w:hAnsi="Times New Roman"/>
          <w:sz w:val="24"/>
        </w:rPr>
        <w:t>;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C55C6">
        <w:rPr>
          <w:rFonts w:ascii="Times New Roman" w:hAnsi="Times New Roman"/>
          <w:sz w:val="24"/>
        </w:rPr>
        <w:t>Дменова</w:t>
      </w:r>
      <w:proofErr w:type="spellEnd"/>
      <w:r w:rsidRPr="003C55C6">
        <w:rPr>
          <w:rFonts w:ascii="Times New Roman" w:hAnsi="Times New Roman"/>
          <w:sz w:val="24"/>
        </w:rPr>
        <w:t xml:space="preserve"> Венера </w:t>
      </w:r>
      <w:proofErr w:type="spellStart"/>
      <w:r w:rsidRPr="003C55C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C55C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C55C6">
        <w:rPr>
          <w:rFonts w:ascii="Times New Roman" w:hAnsi="Times New Roman"/>
          <w:sz w:val="24"/>
        </w:rPr>
        <w:t>;</w:t>
      </w:r>
    </w:p>
    <w:p w:rsidR="000022DD" w:rsidRPr="003C55C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3C55C6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Ведущий специалист ОЗУКС</w:t>
      </w:r>
    </w:p>
    <w:p w:rsidR="007257E7" w:rsidRPr="003C55C6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Скляренко Ольга Николаевна</w:t>
      </w:r>
    </w:p>
    <w:p w:rsidR="00D95F9E" w:rsidRPr="003C55C6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тел. (34643) 47-196</w:t>
      </w:r>
      <w:r w:rsidRPr="003C55C6">
        <w:rPr>
          <w:rFonts w:ascii="Times New Roman" w:hAnsi="Times New Roman"/>
          <w:sz w:val="28"/>
        </w:rPr>
        <w:t xml:space="preserve">, </w:t>
      </w:r>
      <w:hyperlink r:id="rId13" w:history="1">
        <w:r w:rsidRPr="003C55C6">
          <w:rPr>
            <w:rStyle w:val="aa"/>
            <w:rFonts w:ascii="Times New Roman" w:hAnsi="Times New Roman"/>
            <w:color w:val="auto"/>
            <w:sz w:val="24"/>
          </w:rPr>
          <w:t>SkliarenkoON@mng.slavneft.ru</w:t>
        </w:r>
      </w:hyperlink>
      <w:r w:rsidRPr="003C55C6">
        <w:rPr>
          <w:rStyle w:val="aa"/>
          <w:rFonts w:ascii="Times New Roman" w:hAnsi="Times New Roman"/>
          <w:color w:val="auto"/>
          <w:sz w:val="24"/>
        </w:rPr>
        <w:t>;</w:t>
      </w:r>
      <w:r w:rsidR="009610FC" w:rsidRPr="003C55C6">
        <w:rPr>
          <w:rStyle w:val="aa"/>
          <w:rFonts w:ascii="Times New Roman" w:hAnsi="Times New Roman"/>
          <w:color w:val="auto"/>
          <w:sz w:val="24"/>
        </w:rPr>
        <w:t>,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C55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C55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Pr="003C55C6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Акимова Елена Викторовна</w:t>
      </w:r>
    </w:p>
    <w:p w:rsidR="00600E1A" w:rsidRPr="003C55C6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3C55C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C55C6">
        <w:rPr>
          <w:rFonts w:ascii="Times New Roman" w:hAnsi="Times New Roman"/>
          <w:sz w:val="24"/>
        </w:rPr>
        <w:t>;</w:t>
      </w:r>
    </w:p>
    <w:p w:rsidR="000022DD" w:rsidRPr="003C55C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C55C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3C55C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C55C6">
        <w:rPr>
          <w:rFonts w:ascii="Times New Roman" w:hAnsi="Times New Roman"/>
          <w:sz w:val="24"/>
        </w:rPr>
        <w:t>.</w:t>
      </w:r>
    </w:p>
    <w:p w:rsidR="00244E2D" w:rsidRPr="003C55C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3C55C6">
        <w:rPr>
          <w:rFonts w:ascii="Times New Roman" w:hAnsi="Times New Roman"/>
          <w:b/>
          <w:sz w:val="24"/>
        </w:rPr>
        <w:t>Славнефть</w:t>
      </w:r>
      <w:proofErr w:type="spellEnd"/>
      <w:r w:rsidRPr="003C55C6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C55C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C55C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C55C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00E1A" w:rsidRPr="003C55C6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br w:type="page"/>
      </w:r>
    </w:p>
    <w:p w:rsidR="004E5AD6" w:rsidRPr="003C55C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C55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Извещение</w:t>
      </w:r>
    </w:p>
    <w:p w:rsidR="004E5AD6" w:rsidRPr="003C55C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 согласии сделать оферту</w:t>
      </w:r>
    </w:p>
    <w:p w:rsidR="004E5AD6" w:rsidRPr="003C55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1. </w:t>
      </w:r>
      <w:proofErr w:type="gramStart"/>
      <w:r w:rsidRPr="003C55C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C55C6">
        <w:rPr>
          <w:rFonts w:ascii="Times New Roman" w:hAnsi="Times New Roman"/>
          <w:b/>
          <w:sz w:val="24"/>
        </w:rPr>
        <w:t xml:space="preserve">ПДО </w:t>
      </w:r>
      <w:r w:rsidR="00690203">
        <w:rPr>
          <w:rFonts w:ascii="Times New Roman" w:hAnsi="Times New Roman"/>
          <w:b/>
          <w:sz w:val="24"/>
        </w:rPr>
        <w:t>№527/ТК/2014г. от 02.10.</w:t>
      </w:r>
      <w:r w:rsidR="0097661B" w:rsidRPr="003C55C6">
        <w:rPr>
          <w:rFonts w:ascii="Times New Roman" w:hAnsi="Times New Roman"/>
          <w:b/>
          <w:sz w:val="24"/>
        </w:rPr>
        <w:t>2014г</w:t>
      </w:r>
      <w:r w:rsidRPr="003C55C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C55C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2. Сообщаем о себе следующее: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ИНН __________________________________</w:t>
      </w:r>
    </w:p>
    <w:p w:rsidR="004E5AD6" w:rsidRPr="003C55C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C55C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-Мегионнефтегаз».</w:t>
      </w:r>
    </w:p>
    <w:p w:rsidR="004E5AD6" w:rsidRPr="003C55C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C55C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____________________________________________________________________________</w:t>
      </w:r>
      <w:r w:rsidRPr="003C55C6">
        <w:rPr>
          <w:rFonts w:ascii="Times New Roman" w:hAnsi="Times New Roman"/>
          <w:sz w:val="24"/>
          <w:u w:val="single"/>
        </w:rPr>
        <w:t xml:space="preserve"> </w:t>
      </w:r>
      <w:r w:rsidRPr="003C55C6">
        <w:rPr>
          <w:rFonts w:ascii="Times New Roman" w:hAnsi="Times New Roman"/>
          <w:sz w:val="24"/>
        </w:rPr>
        <w:t>_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Руководитель</w:t>
      </w:r>
      <w:r w:rsidRPr="003C55C6">
        <w:rPr>
          <w:rFonts w:ascii="Times New Roman" w:hAnsi="Times New Roman"/>
          <w:sz w:val="24"/>
        </w:rPr>
        <w:tab/>
        <w:t xml:space="preserve">                   ________________</w:t>
      </w:r>
      <w:r w:rsidRPr="003C55C6">
        <w:rPr>
          <w:rFonts w:ascii="Times New Roman" w:hAnsi="Times New Roman"/>
          <w:sz w:val="24"/>
        </w:rPr>
        <w:tab/>
        <w:t>/Фамилия И.О./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Главный бухгалтер</w:t>
      </w:r>
      <w:r w:rsidRPr="003C55C6">
        <w:rPr>
          <w:rFonts w:ascii="Times New Roman" w:hAnsi="Times New Roman"/>
          <w:sz w:val="24"/>
        </w:rPr>
        <w:tab/>
        <w:t xml:space="preserve">      ________________</w:t>
      </w:r>
      <w:r w:rsidRPr="003C55C6">
        <w:rPr>
          <w:rFonts w:ascii="Times New Roman" w:hAnsi="Times New Roman"/>
          <w:sz w:val="24"/>
        </w:rPr>
        <w:tab/>
        <w:t>/Фамилия И.О./</w:t>
      </w:r>
    </w:p>
    <w:p w:rsidR="00404678" w:rsidRPr="003C55C6" w:rsidRDefault="004E5AD6" w:rsidP="000127F9">
      <w:pPr>
        <w:spacing w:before="0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               </w:t>
      </w:r>
      <w:r w:rsidR="00AF2163" w:rsidRPr="003C55C6">
        <w:rPr>
          <w:rFonts w:ascii="Times New Roman" w:hAnsi="Times New Roman"/>
          <w:sz w:val="24"/>
        </w:rPr>
        <w:t xml:space="preserve">        </w:t>
      </w:r>
      <w:r w:rsidR="00AF2163" w:rsidRPr="003C55C6">
        <w:rPr>
          <w:rFonts w:ascii="Times New Roman" w:hAnsi="Times New Roman"/>
          <w:sz w:val="24"/>
        </w:rPr>
        <w:tab/>
      </w:r>
      <w:r w:rsidR="00AF2163" w:rsidRPr="003C55C6">
        <w:rPr>
          <w:rFonts w:ascii="Times New Roman" w:hAnsi="Times New Roman"/>
          <w:sz w:val="24"/>
        </w:rPr>
        <w:tab/>
        <w:t xml:space="preserve">          </w:t>
      </w:r>
      <w:r w:rsidRPr="003C55C6">
        <w:rPr>
          <w:rFonts w:ascii="Times New Roman" w:hAnsi="Times New Roman"/>
          <w:sz w:val="24"/>
        </w:rPr>
        <w:t>(подпись)</w:t>
      </w:r>
    </w:p>
    <w:p w:rsidR="00DF555B" w:rsidRPr="003C55C6" w:rsidRDefault="00DF555B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br w:type="page"/>
      </w:r>
    </w:p>
    <w:p w:rsidR="00942771" w:rsidRPr="003C55C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96D6C4" wp14:editId="7AB9D92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C55C6">
        <w:rPr>
          <w:rFonts w:ascii="Times New Roman" w:hAnsi="Times New Roman"/>
          <w:sz w:val="24"/>
        </w:rPr>
        <w:t>Мегион</w:t>
      </w:r>
      <w:proofErr w:type="spellEnd"/>
      <w:r w:rsidRPr="003C55C6">
        <w:rPr>
          <w:rFonts w:ascii="Times New Roman" w:hAnsi="Times New Roman"/>
          <w:sz w:val="24"/>
        </w:rPr>
        <w:t>, улица Кузьмина, дом 51</w:t>
      </w: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от ____________________________</w:t>
      </w: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 _____________________________</w:t>
      </w:r>
    </w:p>
    <w:p w:rsidR="00942771" w:rsidRPr="003C55C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C55C6" w:rsidRDefault="00942771" w:rsidP="00942771">
      <w:pPr>
        <w:jc w:val="center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(безотзывная оферта)</w:t>
      </w:r>
    </w:p>
    <w:p w:rsidR="00942771" w:rsidRPr="003C55C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«____» __________________ 201_ г.</w:t>
      </w:r>
    </w:p>
    <w:p w:rsidR="00942771" w:rsidRPr="003C55C6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E9063C" w:rsidRPr="003C55C6">
        <w:rPr>
          <w:rFonts w:ascii="Times New Roman" w:hAnsi="Times New Roman"/>
          <w:sz w:val="24"/>
        </w:rPr>
        <w:t>на выполнение подрядных работ по капитальному ремонту объекта: «Столовая №15 S=543,9м2 Северо-</w:t>
      </w:r>
      <w:proofErr w:type="spellStart"/>
      <w:r w:rsidR="00E9063C" w:rsidRPr="003C55C6">
        <w:rPr>
          <w:rFonts w:ascii="Times New Roman" w:hAnsi="Times New Roman"/>
          <w:sz w:val="24"/>
        </w:rPr>
        <w:t>Покурское</w:t>
      </w:r>
      <w:proofErr w:type="spellEnd"/>
      <w:r w:rsidR="00E9063C" w:rsidRPr="003C55C6">
        <w:rPr>
          <w:rFonts w:ascii="Times New Roman" w:hAnsi="Times New Roman"/>
          <w:sz w:val="24"/>
        </w:rPr>
        <w:t xml:space="preserve"> м/р. </w:t>
      </w:r>
      <w:proofErr w:type="spellStart"/>
      <w:proofErr w:type="gramStart"/>
      <w:r w:rsidR="00E9063C" w:rsidRPr="003C55C6">
        <w:rPr>
          <w:rFonts w:ascii="Times New Roman" w:hAnsi="Times New Roman"/>
          <w:sz w:val="24"/>
        </w:rPr>
        <w:t>Инв</w:t>
      </w:r>
      <w:proofErr w:type="spellEnd"/>
      <w:proofErr w:type="gramEnd"/>
      <w:r w:rsidR="00E9063C" w:rsidRPr="003C55C6">
        <w:rPr>
          <w:rFonts w:ascii="Times New Roman" w:hAnsi="Times New Roman"/>
          <w:sz w:val="24"/>
        </w:rPr>
        <w:t xml:space="preserve"> №120000004086» в составе стройки: «Северо-</w:t>
      </w:r>
      <w:proofErr w:type="spellStart"/>
      <w:r w:rsidR="00E9063C" w:rsidRPr="003C55C6">
        <w:rPr>
          <w:rFonts w:ascii="Times New Roman" w:hAnsi="Times New Roman"/>
          <w:sz w:val="24"/>
        </w:rPr>
        <w:t>Покурское</w:t>
      </w:r>
      <w:proofErr w:type="spellEnd"/>
      <w:r w:rsidR="00E9063C" w:rsidRPr="003C55C6">
        <w:rPr>
          <w:rFonts w:ascii="Times New Roman" w:hAnsi="Times New Roman"/>
          <w:sz w:val="24"/>
        </w:rPr>
        <w:t xml:space="preserve"> месторождение нефти»</w:t>
      </w:r>
      <w:r w:rsidRPr="003C55C6">
        <w:rPr>
          <w:rFonts w:ascii="Times New Roman" w:hAnsi="Times New Roman"/>
          <w:sz w:val="24"/>
        </w:rPr>
        <w:t>.</w:t>
      </w:r>
    </w:p>
    <w:p w:rsidR="00743443" w:rsidRPr="003C55C6" w:rsidRDefault="00743443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C55C6" w:rsidRPr="003C55C6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7F" w:rsidRPr="003C55C6" w:rsidRDefault="000C3A7F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E9063C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Лот 1311.3.21</w:t>
            </w:r>
          </w:p>
          <w:p w:rsidR="00743443" w:rsidRPr="003C55C6" w:rsidRDefault="00E9063C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</w:rPr>
              <w:t>«Столовая №15 S=543,9м2 Северо-</w:t>
            </w:r>
            <w:proofErr w:type="spellStart"/>
            <w:r w:rsidRPr="003C55C6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Pr="003C55C6">
              <w:rPr>
                <w:rFonts w:ascii="Times New Roman" w:hAnsi="Times New Roman"/>
                <w:sz w:val="24"/>
              </w:rPr>
              <w:t xml:space="preserve"> м/р. </w:t>
            </w:r>
            <w:proofErr w:type="spellStart"/>
            <w:proofErr w:type="gramStart"/>
            <w:r w:rsidRPr="003C55C6">
              <w:rPr>
                <w:rFonts w:ascii="Times New Roman" w:hAnsi="Times New Roman"/>
                <w:sz w:val="24"/>
              </w:rPr>
              <w:t>Инв</w:t>
            </w:r>
            <w:proofErr w:type="spellEnd"/>
            <w:proofErr w:type="gramEnd"/>
            <w:r w:rsidRPr="003C55C6">
              <w:rPr>
                <w:rFonts w:ascii="Times New Roman" w:hAnsi="Times New Roman"/>
                <w:sz w:val="24"/>
              </w:rPr>
              <w:t xml:space="preserve"> №120000004086» в составе стройки: «Северо-</w:t>
            </w:r>
            <w:proofErr w:type="spellStart"/>
            <w:r w:rsidRPr="003C55C6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Pr="003C55C6">
              <w:rPr>
                <w:rFonts w:ascii="Times New Roman" w:hAnsi="Times New Roman"/>
                <w:sz w:val="24"/>
              </w:rPr>
              <w:t xml:space="preserve"> месторождение нефти»</w:t>
            </w:r>
          </w:p>
        </w:tc>
      </w:tr>
      <w:tr w:rsidR="003C55C6" w:rsidRPr="003C55C6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E9063C" w:rsidP="00E9063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май 2015</w:t>
            </w:r>
            <w:r w:rsidR="00743443" w:rsidRPr="003C55C6">
              <w:rPr>
                <w:rFonts w:ascii="Times New Roman" w:hAnsi="Times New Roman"/>
                <w:sz w:val="24"/>
                <w:szCs w:val="24"/>
              </w:rPr>
              <w:t>г. – декабрь 201</w:t>
            </w:r>
            <w:r w:rsidRPr="003C55C6">
              <w:rPr>
                <w:rFonts w:ascii="Times New Roman" w:hAnsi="Times New Roman"/>
                <w:sz w:val="24"/>
                <w:szCs w:val="24"/>
              </w:rPr>
              <w:t>5</w:t>
            </w:r>
            <w:r w:rsidR="00743443" w:rsidRPr="003C55C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C55C6" w:rsidRPr="003C55C6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C55C6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3C55C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  <w:r w:rsidR="00DF4A83" w:rsidRPr="003C55C6">
              <w:rPr>
                <w:rFonts w:ascii="Times New Roman" w:hAnsi="Times New Roman"/>
                <w:sz w:val="24"/>
                <w:szCs w:val="24"/>
              </w:rPr>
              <w:t xml:space="preserve"> - - - - - -  - - - - - - - - - - - - - </w:t>
            </w: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55C6" w:rsidRPr="003C55C6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55C6" w:rsidRPr="003C55C6" w:rsidTr="000C3A7F">
        <w:trPr>
          <w:trHeight w:val="490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C55C6" w:rsidRPr="003C55C6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3443" w:rsidRPr="003C55C6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 xml:space="preserve">Осуществить оплату выполненных работ в течение 90 календарных дней, но не ранее 60 дней </w:t>
            </w:r>
            <w:proofErr w:type="gramStart"/>
            <w:r w:rsidRPr="003C55C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3C55C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3443" w:rsidRPr="003C55C6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743443" w:rsidRPr="003C55C6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743443" w:rsidRPr="003C55C6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3C55C6">
                <w:rPr>
                  <w:rFonts w:ascii="Times New Roman" w:hAnsi="Times New Roman"/>
                  <w:sz w:val="24"/>
                  <w:szCs w:val="24"/>
                </w:rPr>
                <w:t>счета-фактуры</w:t>
              </w:r>
            </w:hyperlink>
            <w:r w:rsidRPr="003C55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3C55C6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3C55C6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C55C6" w:rsidRPr="003C55C6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3C55C6" w:rsidRDefault="00C73814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</w:rPr>
              <w:t>Увеличение (+50%)/ уменьшение (-50%)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3C55C6" w:rsidRDefault="00C73814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</w:rPr>
              <w:t>да/нет</w:t>
            </w:r>
          </w:p>
        </w:tc>
      </w:tr>
      <w:tr w:rsidR="003C55C6" w:rsidRPr="003C55C6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C55C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3C55C6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3C55C6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C55C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C55C6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3C55C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C55C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C55C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C55C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C55C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C55C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C55C6" w:rsidRDefault="00942771" w:rsidP="00942771">
      <w:pPr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  <w:t>Подпись:</w:t>
      </w:r>
    </w:p>
    <w:p w:rsidR="00942771" w:rsidRPr="003C55C6" w:rsidRDefault="00942771" w:rsidP="00942771">
      <w:pPr>
        <w:jc w:val="right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ab/>
        <w:t>МП</w:t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</w:r>
      <w:r w:rsidRPr="003C55C6">
        <w:rPr>
          <w:rFonts w:ascii="Times New Roman" w:hAnsi="Times New Roman"/>
          <w:sz w:val="24"/>
        </w:rPr>
        <w:tab/>
        <w:t>________________________________</w:t>
      </w:r>
    </w:p>
    <w:p w:rsidR="00600E1A" w:rsidRPr="003C55C6" w:rsidRDefault="00942771" w:rsidP="00942771">
      <w:pPr>
        <w:jc w:val="right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________________________________</w:t>
      </w:r>
    </w:p>
    <w:p w:rsidR="00600E1A" w:rsidRPr="003C55C6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br w:type="page"/>
      </w:r>
    </w:p>
    <w:p w:rsidR="00942771" w:rsidRPr="003C55C6" w:rsidRDefault="00942771" w:rsidP="00942771">
      <w:pPr>
        <w:jc w:val="right"/>
        <w:rPr>
          <w:rFonts w:ascii="Times New Roman" w:hAnsi="Times New Roman"/>
          <w:sz w:val="24"/>
        </w:rPr>
        <w:sectPr w:rsidR="00942771" w:rsidRPr="003C55C6" w:rsidSect="00F05172">
          <w:headerReference w:type="default" r:id="rId17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3C55C6" w:rsidRDefault="00600E1A" w:rsidP="000127F9">
      <w:pPr>
        <w:jc w:val="right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lastRenderedPageBreak/>
        <w:t>Ф</w:t>
      </w:r>
      <w:r w:rsidR="005B0A3B" w:rsidRPr="003C55C6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416FD" w:rsidRPr="003C55C6" w:rsidTr="000127F9">
        <w:trPr>
          <w:trHeight w:val="369"/>
        </w:trPr>
        <w:tc>
          <w:tcPr>
            <w:tcW w:w="5103" w:type="dxa"/>
          </w:tcPr>
          <w:p w:rsidR="004416FD" w:rsidRPr="003C55C6" w:rsidRDefault="004416FD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416FD" w:rsidRDefault="004416FD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  <w:p w:rsidR="004416FD" w:rsidRDefault="004416F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4416FD" w:rsidRPr="003C55C6" w:rsidTr="000127F9">
        <w:trPr>
          <w:trHeight w:val="369"/>
        </w:trPr>
        <w:tc>
          <w:tcPr>
            <w:tcW w:w="5103" w:type="dxa"/>
          </w:tcPr>
          <w:p w:rsidR="004416FD" w:rsidRPr="003C55C6" w:rsidRDefault="004416FD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416FD" w:rsidRDefault="004416F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4416FD" w:rsidRPr="003C55C6" w:rsidTr="000127F9">
        <w:trPr>
          <w:trHeight w:val="391"/>
        </w:trPr>
        <w:tc>
          <w:tcPr>
            <w:tcW w:w="5103" w:type="dxa"/>
          </w:tcPr>
          <w:p w:rsidR="004416FD" w:rsidRPr="003C55C6" w:rsidRDefault="004416F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416FD" w:rsidRDefault="004416F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_300_________</w:t>
            </w:r>
          </w:p>
        </w:tc>
      </w:tr>
      <w:tr w:rsidR="004416FD" w:rsidRPr="003C55C6" w:rsidTr="000127F9">
        <w:trPr>
          <w:trHeight w:val="391"/>
        </w:trPr>
        <w:tc>
          <w:tcPr>
            <w:tcW w:w="5103" w:type="dxa"/>
          </w:tcPr>
          <w:p w:rsidR="004416FD" w:rsidRPr="003C55C6" w:rsidRDefault="004416F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416FD" w:rsidRDefault="004416F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___10______  _2014_ г.</w:t>
            </w:r>
          </w:p>
        </w:tc>
      </w:tr>
    </w:tbl>
    <w:p w:rsidR="005B0A3B" w:rsidRPr="003C55C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C55C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C55C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C55C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C55C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1.Общие положения </w:t>
      </w:r>
    </w:p>
    <w:p w:rsidR="00607684" w:rsidRPr="003C55C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Pr="003C55C6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sz w:val="24"/>
        </w:rPr>
        <w:t xml:space="preserve">Тип сделки: </w:t>
      </w:r>
      <w:r w:rsidR="00C73814" w:rsidRPr="003C55C6">
        <w:rPr>
          <w:rFonts w:ascii="Times New Roman" w:hAnsi="Times New Roman"/>
          <w:b/>
          <w:bCs/>
          <w:sz w:val="24"/>
          <w:u w:val="single"/>
        </w:rPr>
        <w:t>№1311 «Строительство, реконструкция и капитальный ремонт прочих объектов инфраструктуры (ОБП,</w:t>
      </w:r>
      <w:r w:rsidR="0097661B" w:rsidRPr="003C55C6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C73814" w:rsidRPr="003C55C6">
        <w:rPr>
          <w:rFonts w:ascii="Times New Roman" w:hAnsi="Times New Roman"/>
          <w:b/>
          <w:bCs/>
          <w:sz w:val="24"/>
          <w:u w:val="single"/>
        </w:rPr>
        <w:t>БПО, РММ, АБК, бытовые помещения на промыслах, объекты социального назначения)».</w:t>
      </w:r>
    </w:p>
    <w:p w:rsidR="00607684" w:rsidRPr="003C55C6" w:rsidRDefault="00607684" w:rsidP="00600E1A">
      <w:pPr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Заказчик: ОАО «СН-МНГ».</w:t>
      </w:r>
    </w:p>
    <w:p w:rsidR="00607684" w:rsidRPr="003C55C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3C55C6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По лоту: 13</w:t>
      </w:r>
      <w:r w:rsidR="00C73814" w:rsidRPr="003C55C6">
        <w:rPr>
          <w:rFonts w:ascii="Times New Roman" w:hAnsi="Times New Roman"/>
          <w:sz w:val="24"/>
        </w:rPr>
        <w:t>11.3.21</w:t>
      </w:r>
      <w:r w:rsidRPr="003C55C6">
        <w:rPr>
          <w:rFonts w:ascii="Times New Roman" w:hAnsi="Times New Roman"/>
          <w:sz w:val="24"/>
        </w:rPr>
        <w:t xml:space="preserve"> (форма 9</w:t>
      </w:r>
      <w:r w:rsidR="007106B8" w:rsidRPr="003C55C6">
        <w:rPr>
          <w:rFonts w:ascii="Times New Roman" w:hAnsi="Times New Roman"/>
          <w:sz w:val="24"/>
        </w:rPr>
        <w:t xml:space="preserve"> с приложениями №1,2</w:t>
      </w:r>
      <w:r w:rsidRPr="003C55C6">
        <w:rPr>
          <w:rFonts w:ascii="Times New Roman" w:hAnsi="Times New Roman"/>
          <w:sz w:val="24"/>
        </w:rPr>
        <w:t xml:space="preserve">) –  </w:t>
      </w:r>
      <w:r w:rsidR="0001409D" w:rsidRPr="003C55C6">
        <w:rPr>
          <w:rFonts w:ascii="Times New Roman" w:hAnsi="Times New Roman"/>
          <w:sz w:val="24"/>
        </w:rPr>
        <w:t>май</w:t>
      </w:r>
      <w:r w:rsidRPr="003C55C6">
        <w:rPr>
          <w:rFonts w:ascii="Times New Roman" w:hAnsi="Times New Roman"/>
          <w:sz w:val="24"/>
        </w:rPr>
        <w:t xml:space="preserve"> 201</w:t>
      </w:r>
      <w:r w:rsidR="0001409D" w:rsidRPr="003C55C6">
        <w:rPr>
          <w:rFonts w:ascii="Times New Roman" w:hAnsi="Times New Roman"/>
          <w:sz w:val="24"/>
        </w:rPr>
        <w:t>5</w:t>
      </w:r>
      <w:r w:rsidRPr="003C55C6">
        <w:rPr>
          <w:rFonts w:ascii="Times New Roman" w:hAnsi="Times New Roman"/>
          <w:sz w:val="24"/>
        </w:rPr>
        <w:t>г. –  декабрь 2015г.;</w:t>
      </w:r>
    </w:p>
    <w:p w:rsidR="00600E1A" w:rsidRPr="003C55C6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3C55C6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По лоту: </w:t>
      </w:r>
      <w:r w:rsidR="00C73814" w:rsidRPr="003C55C6">
        <w:rPr>
          <w:rFonts w:ascii="Times New Roman" w:hAnsi="Times New Roman"/>
          <w:sz w:val="24"/>
        </w:rPr>
        <w:t xml:space="preserve">1311.3.21 </w:t>
      </w:r>
      <w:r w:rsidRPr="003C55C6">
        <w:rPr>
          <w:rFonts w:ascii="Times New Roman" w:hAnsi="Times New Roman"/>
          <w:sz w:val="24"/>
        </w:rPr>
        <w:t>(</w:t>
      </w:r>
      <w:r w:rsidR="007106B8" w:rsidRPr="003C55C6">
        <w:rPr>
          <w:rFonts w:ascii="Times New Roman" w:hAnsi="Times New Roman"/>
          <w:sz w:val="24"/>
        </w:rPr>
        <w:t>форма 9 с приложениями №1,2</w:t>
      </w:r>
      <w:r w:rsidRPr="003C55C6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3C55C6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Порядок оплаты: </w:t>
      </w:r>
    </w:p>
    <w:p w:rsidR="00600E1A" w:rsidRPr="003C55C6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3C55C6">
        <w:rPr>
          <w:rFonts w:ascii="Times New Roman" w:hAnsi="Times New Roman"/>
          <w:sz w:val="24"/>
          <w:szCs w:val="24"/>
        </w:rPr>
        <w:t xml:space="preserve">Осуществить оплату выполненных работ в течение 90 календарных дней, но не ранее 60 дней </w:t>
      </w:r>
      <w:proofErr w:type="gramStart"/>
      <w:r w:rsidRPr="003C55C6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3C55C6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600E1A" w:rsidRPr="003C55C6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3C55C6">
        <w:rPr>
          <w:rFonts w:ascii="Times New Roman" w:hAnsi="Times New Roman"/>
          <w:sz w:val="24"/>
          <w:szCs w:val="24"/>
        </w:rPr>
        <w:t>а) справки о стоимости выполненных работ и затрат формы №КС-3;</w:t>
      </w:r>
    </w:p>
    <w:p w:rsidR="00600E1A" w:rsidRPr="003C55C6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3C55C6">
        <w:rPr>
          <w:rFonts w:ascii="Times New Roman" w:hAnsi="Times New Roman"/>
          <w:sz w:val="24"/>
          <w:szCs w:val="24"/>
        </w:rPr>
        <w:t>б) акта о приемке выполненных работ формы КС-2;</w:t>
      </w:r>
    </w:p>
    <w:p w:rsidR="00600E1A" w:rsidRPr="003C55C6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в) </w:t>
      </w:r>
      <w:hyperlink r:id="rId18" w:history="1">
        <w:r w:rsidRPr="003C55C6">
          <w:rPr>
            <w:rFonts w:ascii="Times New Roman" w:hAnsi="Times New Roman"/>
            <w:sz w:val="24"/>
          </w:rPr>
          <w:t>счета-фактуры</w:t>
        </w:r>
      </w:hyperlink>
      <w:r w:rsidRPr="003C55C6">
        <w:rPr>
          <w:rFonts w:ascii="Times New Roman" w:hAnsi="Times New Roman"/>
          <w:sz w:val="24"/>
        </w:rPr>
        <w:t xml:space="preserve">. </w:t>
      </w:r>
    </w:p>
    <w:p w:rsidR="00607684" w:rsidRPr="003C55C6" w:rsidRDefault="00540B15" w:rsidP="00607684">
      <w:pPr>
        <w:ind w:left="709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Н</w:t>
      </w:r>
      <w:r w:rsidR="00607684" w:rsidRPr="003C55C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3C55C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C55C6" w:rsidRDefault="00607684" w:rsidP="00607684">
      <w:pPr>
        <w:pStyle w:val="af"/>
        <w:jc w:val="both"/>
      </w:pPr>
      <w:r w:rsidRPr="003C55C6">
        <w:t>Качественное, своевременное выполнение объемов работ, представленных в вышеуказанном Лоте (</w:t>
      </w:r>
      <w:r w:rsidR="007106B8" w:rsidRPr="003C55C6">
        <w:t>форма 9</w:t>
      </w:r>
      <w:r w:rsidRPr="003C55C6">
        <w:t>) и приложени</w:t>
      </w:r>
      <w:r w:rsidR="00244E2D" w:rsidRPr="003C55C6">
        <w:t>ях</w:t>
      </w:r>
      <w:r w:rsidRPr="003C55C6">
        <w:t xml:space="preserve"> №1</w:t>
      </w:r>
      <w:r w:rsidR="00755D07" w:rsidRPr="003C55C6">
        <w:t>,2</w:t>
      </w:r>
      <w:r w:rsidR="00DB172E" w:rsidRPr="003C55C6">
        <w:t xml:space="preserve"> </w:t>
      </w:r>
      <w:r w:rsidRPr="003C55C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3C55C6" w:rsidRDefault="00607684" w:rsidP="00C73814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3C55C6">
        <w:rPr>
          <w:rFonts w:ascii="Times New Roman" w:hAnsi="Times New Roman"/>
          <w:sz w:val="24"/>
        </w:rPr>
        <w:t>расчета договорной цены (Форма 8</w:t>
      </w:r>
      <w:r w:rsidR="006C2B73" w:rsidRPr="003C55C6">
        <w:rPr>
          <w:rFonts w:ascii="Times New Roman" w:hAnsi="Times New Roman"/>
          <w:sz w:val="24"/>
        </w:rPr>
        <w:t xml:space="preserve"> с приложениями </w:t>
      </w:r>
      <w:r w:rsidR="00743443" w:rsidRPr="003C55C6">
        <w:rPr>
          <w:rFonts w:ascii="Times New Roman" w:hAnsi="Times New Roman"/>
          <w:sz w:val="24"/>
        </w:rPr>
        <w:t>№1,2,3</w:t>
      </w:r>
      <w:r w:rsidR="004B3BF2" w:rsidRPr="003C55C6">
        <w:rPr>
          <w:rFonts w:ascii="Times New Roman" w:hAnsi="Times New Roman"/>
          <w:sz w:val="24"/>
        </w:rPr>
        <w:t>);</w:t>
      </w:r>
    </w:p>
    <w:p w:rsidR="00607684" w:rsidRPr="003C55C6" w:rsidRDefault="00607684" w:rsidP="00607684">
      <w:pPr>
        <w:pStyle w:val="af"/>
        <w:jc w:val="both"/>
      </w:pPr>
      <w:r w:rsidRPr="003C55C6">
        <w:t xml:space="preserve"> по вышеуказанному лоту согласно Форме 8</w:t>
      </w:r>
      <w:r w:rsidR="006C2B73" w:rsidRPr="003C55C6">
        <w:t xml:space="preserve"> с приложениями </w:t>
      </w:r>
      <w:r w:rsidR="00743443" w:rsidRPr="003C55C6">
        <w:t>№1,2,3</w:t>
      </w:r>
      <w:r w:rsidRPr="003C55C6">
        <w:t>.</w:t>
      </w:r>
    </w:p>
    <w:p w:rsidR="00607684" w:rsidRPr="003C55C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C55C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C55C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C55C6">
        <w:rPr>
          <w:rFonts w:ascii="Times New Roman" w:hAnsi="Times New Roman"/>
          <w:sz w:val="24"/>
        </w:rPr>
        <w:t>ОАО «</w:t>
      </w:r>
      <w:proofErr w:type="spellStart"/>
      <w:r w:rsidR="00D25316" w:rsidRPr="003C55C6">
        <w:rPr>
          <w:rFonts w:ascii="Times New Roman" w:hAnsi="Times New Roman"/>
          <w:sz w:val="24"/>
        </w:rPr>
        <w:t>Славнефть</w:t>
      </w:r>
      <w:proofErr w:type="spellEnd"/>
      <w:r w:rsidR="00D25316" w:rsidRPr="003C55C6">
        <w:rPr>
          <w:rFonts w:ascii="Times New Roman" w:hAnsi="Times New Roman"/>
          <w:sz w:val="24"/>
        </w:rPr>
        <w:t xml:space="preserve">-Мегионнефтегаз» </w:t>
      </w:r>
      <w:r w:rsidRPr="003C55C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C55C6" w:rsidRDefault="00607684" w:rsidP="00C36A1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C36A1C" w:rsidRPr="003C55C6">
        <w:rPr>
          <w:rFonts w:ascii="Times New Roman" w:hAnsi="Times New Roman"/>
          <w:sz w:val="24"/>
        </w:rPr>
        <w:t>3</w:t>
      </w:r>
      <w:r w:rsidRPr="003C55C6">
        <w:rPr>
          <w:rFonts w:ascii="Times New Roman" w:hAnsi="Times New Roman"/>
          <w:sz w:val="24"/>
        </w:rPr>
        <w:t>.</w:t>
      </w:r>
    </w:p>
    <w:p w:rsidR="00607684" w:rsidRPr="003C55C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C55C6">
        <w:rPr>
          <w:rFonts w:ascii="Times New Roman" w:hAnsi="Times New Roman"/>
          <w:sz w:val="24"/>
        </w:rPr>
        <w:t xml:space="preserve">вляет размещение (расстановку) </w:t>
      </w:r>
      <w:r w:rsidRPr="003C55C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C55C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C55C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C55C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C55C6">
        <w:rPr>
          <w:rFonts w:ascii="Times New Roman" w:hAnsi="Times New Roman"/>
          <w:sz w:val="24"/>
        </w:rPr>
        <w:br/>
        <w:t>«</w:t>
      </w:r>
      <w:proofErr w:type="spellStart"/>
      <w:r w:rsidRPr="003C55C6">
        <w:rPr>
          <w:rFonts w:ascii="Times New Roman" w:hAnsi="Times New Roman"/>
          <w:sz w:val="24"/>
        </w:rPr>
        <w:t>Славнефть</w:t>
      </w:r>
      <w:proofErr w:type="spellEnd"/>
      <w:r w:rsidRPr="003C55C6">
        <w:rPr>
          <w:rFonts w:ascii="Times New Roman" w:hAnsi="Times New Roman"/>
          <w:sz w:val="24"/>
        </w:rPr>
        <w:t>-Мегионнефтегаз» СТБ 034-201</w:t>
      </w:r>
      <w:r w:rsidR="00E849AD" w:rsidRPr="003C55C6">
        <w:rPr>
          <w:rFonts w:ascii="Times New Roman" w:hAnsi="Times New Roman"/>
          <w:sz w:val="24"/>
        </w:rPr>
        <w:t>2</w:t>
      </w:r>
      <w:r w:rsidRPr="003C55C6">
        <w:rPr>
          <w:rFonts w:ascii="Times New Roman" w:hAnsi="Times New Roman"/>
          <w:sz w:val="24"/>
        </w:rPr>
        <w:t>;</w:t>
      </w:r>
    </w:p>
    <w:p w:rsidR="00607684" w:rsidRPr="003C55C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C55C6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Соответствие  </w:t>
      </w:r>
      <w:r w:rsidR="00C73814" w:rsidRPr="003C55C6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(ОБП,</w:t>
      </w:r>
      <w:r w:rsidR="00E849AD" w:rsidRPr="003C55C6">
        <w:rPr>
          <w:rFonts w:ascii="Times New Roman" w:hAnsi="Times New Roman"/>
          <w:bCs/>
          <w:sz w:val="24"/>
        </w:rPr>
        <w:t xml:space="preserve"> </w:t>
      </w:r>
      <w:r w:rsidR="00C73814" w:rsidRPr="003C55C6">
        <w:rPr>
          <w:rFonts w:ascii="Times New Roman" w:hAnsi="Times New Roman"/>
          <w:bCs/>
          <w:sz w:val="24"/>
        </w:rPr>
        <w:t>БПО, РММ, АБК, бытовые помещения на промыслах, объекты социального назначения)»</w:t>
      </w:r>
      <w:r w:rsidR="00C73814" w:rsidRPr="003C55C6">
        <w:rPr>
          <w:rFonts w:ascii="Times New Roman" w:hAnsi="Times New Roman"/>
          <w:sz w:val="24"/>
        </w:rPr>
        <w:t xml:space="preserve"> </w:t>
      </w:r>
      <w:r w:rsidRPr="003C55C6">
        <w:rPr>
          <w:rFonts w:ascii="Times New Roman" w:hAnsi="Times New Roman"/>
          <w:sz w:val="24"/>
        </w:rPr>
        <w:t>(Форма 11);</w:t>
      </w:r>
    </w:p>
    <w:p w:rsidR="00607684" w:rsidRPr="003C55C6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73814" w:rsidRPr="003C55C6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(ОБП,</w:t>
      </w:r>
      <w:r w:rsidR="00E849AD" w:rsidRPr="003C55C6">
        <w:rPr>
          <w:rFonts w:ascii="Times New Roman" w:hAnsi="Times New Roman"/>
          <w:bCs/>
          <w:sz w:val="24"/>
        </w:rPr>
        <w:t xml:space="preserve"> </w:t>
      </w:r>
      <w:r w:rsidR="00C73814" w:rsidRPr="003C55C6">
        <w:rPr>
          <w:rFonts w:ascii="Times New Roman" w:hAnsi="Times New Roman"/>
          <w:bCs/>
          <w:sz w:val="24"/>
        </w:rPr>
        <w:t>БПО, РММ, АБК, бытовые помещения на промыслах, объекты социального назначения)»</w:t>
      </w:r>
      <w:r w:rsidR="00C73814" w:rsidRPr="003C55C6">
        <w:rPr>
          <w:rFonts w:ascii="Times New Roman" w:hAnsi="Times New Roman"/>
          <w:sz w:val="24"/>
        </w:rPr>
        <w:t xml:space="preserve"> </w:t>
      </w:r>
      <w:r w:rsidRPr="003C55C6">
        <w:rPr>
          <w:rFonts w:ascii="Times New Roman" w:hAnsi="Times New Roman"/>
          <w:sz w:val="24"/>
        </w:rPr>
        <w:t>(Форма 11).</w:t>
      </w:r>
    </w:p>
    <w:p w:rsidR="00D25316" w:rsidRPr="003C55C6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C55C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C55C6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C55C6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C55C6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C55C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C55C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C55C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C55C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C55C6" w:rsidRDefault="00230F80" w:rsidP="000127F9">
      <w:pPr>
        <w:jc w:val="both"/>
        <w:rPr>
          <w:rFonts w:ascii="Times New Roman" w:hAnsi="Times New Roman"/>
          <w:sz w:val="24"/>
        </w:rPr>
      </w:pPr>
    </w:p>
    <w:p w:rsidR="00540B15" w:rsidRPr="003C55C6" w:rsidRDefault="00540B15">
      <w:pPr>
        <w:spacing w:before="0" w:after="200" w:line="276" w:lineRule="auto"/>
        <w:rPr>
          <w:rFonts w:ascii="Times New Roman" w:hAnsi="Times New Roman"/>
          <w:sz w:val="24"/>
        </w:rPr>
      </w:pPr>
      <w:r w:rsidRPr="003C55C6">
        <w:rPr>
          <w:rFonts w:ascii="Times New Roman" w:hAnsi="Times New Roman"/>
          <w:sz w:val="24"/>
        </w:rPr>
        <w:br w:type="page"/>
      </w:r>
    </w:p>
    <w:p w:rsidR="00230F80" w:rsidRPr="003C55C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C55C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C55C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C55C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C55C6" w:rsidRPr="003C55C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C55C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C55C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C55C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C55C6" w:rsidRPr="003C55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C55C6" w:rsidRPr="003C55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C55C6" w:rsidRPr="003C55C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C55C6" w:rsidRPr="003C55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C55C6" w:rsidRPr="003C55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C55C6" w:rsidRPr="003C55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C55C6" w:rsidRPr="003C55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C55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C55C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607684" w:rsidRPr="003C55C6" w:rsidRDefault="00607684" w:rsidP="009A35A4">
      <w:pPr>
        <w:jc w:val="right"/>
        <w:rPr>
          <w:b/>
          <w:szCs w:val="22"/>
        </w:rPr>
      </w:pPr>
    </w:p>
    <w:p w:rsidR="00607684" w:rsidRPr="003C55C6" w:rsidRDefault="00607684" w:rsidP="009A35A4">
      <w:pPr>
        <w:jc w:val="right"/>
        <w:rPr>
          <w:b/>
          <w:szCs w:val="22"/>
        </w:rPr>
      </w:pPr>
    </w:p>
    <w:p w:rsidR="00607684" w:rsidRPr="003C55C6" w:rsidRDefault="0060768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9A35A4" w:rsidRPr="003C55C6" w:rsidRDefault="009A35A4" w:rsidP="009A35A4">
      <w:pPr>
        <w:jc w:val="right"/>
        <w:rPr>
          <w:b/>
          <w:szCs w:val="22"/>
        </w:rPr>
      </w:pPr>
    </w:p>
    <w:p w:rsidR="00607684" w:rsidRPr="003C55C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C55C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C73814" w:rsidRPr="003C55C6">
        <w:rPr>
          <w:rFonts w:ascii="Times New Roman" w:hAnsi="Times New Roman"/>
          <w:b/>
          <w:sz w:val="24"/>
        </w:rPr>
        <w:t>1311.3.21</w:t>
      </w:r>
      <w:r w:rsidRPr="003C55C6">
        <w:rPr>
          <w:rFonts w:ascii="Times New Roman" w:hAnsi="Times New Roman"/>
          <w:b/>
          <w:sz w:val="24"/>
        </w:rPr>
        <w:t>»</w:t>
      </w:r>
    </w:p>
    <w:p w:rsidR="00607684" w:rsidRPr="003C55C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C55C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C55C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C55C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C55C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C55C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C55C6">
        <w:rPr>
          <w:rFonts w:ascii="Times New Roman" w:hAnsi="Times New Roman"/>
          <w:sz w:val="24"/>
        </w:rPr>
        <w:t xml:space="preserve">лоту </w:t>
      </w:r>
      <w:r w:rsidR="00C73814" w:rsidRPr="003C55C6">
        <w:rPr>
          <w:rFonts w:ascii="Times New Roman" w:hAnsi="Times New Roman"/>
          <w:sz w:val="24"/>
        </w:rPr>
        <w:t>1311.3</w:t>
      </w:r>
      <w:r w:rsidR="00DB172E" w:rsidRPr="003C55C6">
        <w:rPr>
          <w:rFonts w:ascii="Times New Roman" w:hAnsi="Times New Roman"/>
          <w:sz w:val="24"/>
        </w:rPr>
        <w:t>.</w:t>
      </w:r>
      <w:r w:rsidR="00C73814" w:rsidRPr="003C55C6">
        <w:rPr>
          <w:rFonts w:ascii="Times New Roman" w:hAnsi="Times New Roman"/>
          <w:sz w:val="24"/>
        </w:rPr>
        <w:t>21</w:t>
      </w:r>
      <w:r w:rsidRPr="003C55C6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3C55C6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3C55C6">
        <w:rPr>
          <w:rFonts w:ascii="Times New Roman" w:hAnsi="Times New Roman"/>
          <w:sz w:val="24"/>
          <w:u w:val="single"/>
        </w:rPr>
        <w:t xml:space="preserve">  </w:t>
      </w:r>
      <w:r w:rsidRPr="003C55C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C55C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C55C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C55C6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F9" w:rsidRDefault="004565F9">
      <w:pPr>
        <w:spacing w:before="0"/>
      </w:pPr>
      <w:r>
        <w:separator/>
      </w:r>
    </w:p>
  </w:endnote>
  <w:endnote w:type="continuationSeparator" w:id="0">
    <w:p w:rsidR="004565F9" w:rsidRDefault="004565F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F9" w:rsidRDefault="004565F9">
      <w:pPr>
        <w:spacing w:before="0"/>
      </w:pPr>
      <w:r>
        <w:separator/>
      </w:r>
    </w:p>
  </w:footnote>
  <w:footnote w:type="continuationSeparator" w:id="0">
    <w:p w:rsidR="004565F9" w:rsidRDefault="004565F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565F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09D"/>
    <w:rsid w:val="00054915"/>
    <w:rsid w:val="00064B65"/>
    <w:rsid w:val="000B03AF"/>
    <w:rsid w:val="000B2601"/>
    <w:rsid w:val="000C3A7F"/>
    <w:rsid w:val="000C4A0C"/>
    <w:rsid w:val="000D5618"/>
    <w:rsid w:val="000F2EDE"/>
    <w:rsid w:val="00122C15"/>
    <w:rsid w:val="00132CBD"/>
    <w:rsid w:val="0014228E"/>
    <w:rsid w:val="00162DF1"/>
    <w:rsid w:val="00173C8B"/>
    <w:rsid w:val="001A426D"/>
    <w:rsid w:val="001C6CC4"/>
    <w:rsid w:val="001E4949"/>
    <w:rsid w:val="001F3C56"/>
    <w:rsid w:val="001F6078"/>
    <w:rsid w:val="00203261"/>
    <w:rsid w:val="00204A26"/>
    <w:rsid w:val="0021083A"/>
    <w:rsid w:val="002229CB"/>
    <w:rsid w:val="002257DE"/>
    <w:rsid w:val="00226F52"/>
    <w:rsid w:val="00230F80"/>
    <w:rsid w:val="0024271B"/>
    <w:rsid w:val="00244E2D"/>
    <w:rsid w:val="00277969"/>
    <w:rsid w:val="0029507F"/>
    <w:rsid w:val="002B3F26"/>
    <w:rsid w:val="0031227B"/>
    <w:rsid w:val="00331DA4"/>
    <w:rsid w:val="00354102"/>
    <w:rsid w:val="003C548D"/>
    <w:rsid w:val="003C55C6"/>
    <w:rsid w:val="003E2AC2"/>
    <w:rsid w:val="003F1714"/>
    <w:rsid w:val="00404678"/>
    <w:rsid w:val="00411973"/>
    <w:rsid w:val="00427B55"/>
    <w:rsid w:val="004416FD"/>
    <w:rsid w:val="00446D75"/>
    <w:rsid w:val="004565F9"/>
    <w:rsid w:val="00475586"/>
    <w:rsid w:val="004A41AE"/>
    <w:rsid w:val="004B3BF2"/>
    <w:rsid w:val="004B4F45"/>
    <w:rsid w:val="004B57D6"/>
    <w:rsid w:val="004D6C35"/>
    <w:rsid w:val="004E5AD6"/>
    <w:rsid w:val="004F7870"/>
    <w:rsid w:val="00531019"/>
    <w:rsid w:val="00540B15"/>
    <w:rsid w:val="0055651B"/>
    <w:rsid w:val="005920B1"/>
    <w:rsid w:val="005B0A3B"/>
    <w:rsid w:val="005B61A0"/>
    <w:rsid w:val="005D0427"/>
    <w:rsid w:val="005F6A1B"/>
    <w:rsid w:val="00600E1A"/>
    <w:rsid w:val="00607684"/>
    <w:rsid w:val="00622423"/>
    <w:rsid w:val="00643A99"/>
    <w:rsid w:val="00662FB2"/>
    <w:rsid w:val="0066428C"/>
    <w:rsid w:val="006733F5"/>
    <w:rsid w:val="00685E40"/>
    <w:rsid w:val="00690203"/>
    <w:rsid w:val="00692B1B"/>
    <w:rsid w:val="006B1010"/>
    <w:rsid w:val="006C2B73"/>
    <w:rsid w:val="006D16A2"/>
    <w:rsid w:val="006F73CA"/>
    <w:rsid w:val="007106B8"/>
    <w:rsid w:val="007257E7"/>
    <w:rsid w:val="00743443"/>
    <w:rsid w:val="00753978"/>
    <w:rsid w:val="00755D07"/>
    <w:rsid w:val="00765911"/>
    <w:rsid w:val="00807E7A"/>
    <w:rsid w:val="00836294"/>
    <w:rsid w:val="00875B06"/>
    <w:rsid w:val="0089741C"/>
    <w:rsid w:val="008C15D9"/>
    <w:rsid w:val="008E1922"/>
    <w:rsid w:val="008E3006"/>
    <w:rsid w:val="00942771"/>
    <w:rsid w:val="009610FC"/>
    <w:rsid w:val="0097661B"/>
    <w:rsid w:val="009A08B7"/>
    <w:rsid w:val="009A35A4"/>
    <w:rsid w:val="009B4B48"/>
    <w:rsid w:val="009C79EC"/>
    <w:rsid w:val="009D5255"/>
    <w:rsid w:val="009F4DA0"/>
    <w:rsid w:val="00A64528"/>
    <w:rsid w:val="00A7245C"/>
    <w:rsid w:val="00A81B63"/>
    <w:rsid w:val="00AA4E91"/>
    <w:rsid w:val="00AC5FD2"/>
    <w:rsid w:val="00AF2163"/>
    <w:rsid w:val="00B02AD9"/>
    <w:rsid w:val="00BA6358"/>
    <w:rsid w:val="00BD769A"/>
    <w:rsid w:val="00BE3851"/>
    <w:rsid w:val="00C23483"/>
    <w:rsid w:val="00C3199D"/>
    <w:rsid w:val="00C36A1C"/>
    <w:rsid w:val="00C43C23"/>
    <w:rsid w:val="00C53347"/>
    <w:rsid w:val="00C73814"/>
    <w:rsid w:val="00C73E22"/>
    <w:rsid w:val="00CC5F64"/>
    <w:rsid w:val="00D2514A"/>
    <w:rsid w:val="00D25316"/>
    <w:rsid w:val="00D426F0"/>
    <w:rsid w:val="00D8098D"/>
    <w:rsid w:val="00D9517D"/>
    <w:rsid w:val="00D95F9E"/>
    <w:rsid w:val="00DA36C3"/>
    <w:rsid w:val="00DB172E"/>
    <w:rsid w:val="00DC190F"/>
    <w:rsid w:val="00DC3B68"/>
    <w:rsid w:val="00DE1F75"/>
    <w:rsid w:val="00DE5037"/>
    <w:rsid w:val="00DF4A83"/>
    <w:rsid w:val="00DF555B"/>
    <w:rsid w:val="00E17768"/>
    <w:rsid w:val="00E341C9"/>
    <w:rsid w:val="00E34A3E"/>
    <w:rsid w:val="00E7154A"/>
    <w:rsid w:val="00E849AD"/>
    <w:rsid w:val="00E9063C"/>
    <w:rsid w:val="00E973F5"/>
    <w:rsid w:val="00EB6927"/>
    <w:rsid w:val="00EE4364"/>
    <w:rsid w:val="00EF4E01"/>
    <w:rsid w:val="00F05172"/>
    <w:rsid w:val="00F11D87"/>
    <w:rsid w:val="00F366D4"/>
    <w:rsid w:val="00F4797C"/>
    <w:rsid w:val="00F573E3"/>
    <w:rsid w:val="00FB3B2E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E7842-F311-402B-A0C0-5AEBC749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32</cp:revision>
  <cp:lastPrinted>2014-09-30T04:10:00Z</cp:lastPrinted>
  <dcterms:created xsi:type="dcterms:W3CDTF">2014-09-02T02:53:00Z</dcterms:created>
  <dcterms:modified xsi:type="dcterms:W3CDTF">2014-10-01T04:08:00Z</dcterms:modified>
</cp:coreProperties>
</file>