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C7438D">
            <w:pPr>
              <w:spacing w:before="0"/>
              <w:jc w:val="both"/>
              <w:rPr>
                <w:rFonts w:ascii="Times New Roman" w:hAnsi="Times New Roman"/>
                <w:sz w:val="24"/>
              </w:rPr>
            </w:pPr>
            <w:r w:rsidRPr="000127F9">
              <w:rPr>
                <w:rFonts w:ascii="Times New Roman" w:hAnsi="Times New Roman"/>
                <w:sz w:val="24"/>
              </w:rPr>
              <w:t>Протокол  № __</w:t>
            </w:r>
            <w:r w:rsidR="00C7438D">
              <w:rPr>
                <w:rFonts w:ascii="Times New Roman" w:hAnsi="Times New Roman"/>
                <w:sz w:val="24"/>
              </w:rPr>
              <w:t>638</w:t>
            </w:r>
            <w:r w:rsidRPr="000127F9">
              <w:rPr>
                <w:rFonts w:ascii="Times New Roman" w:hAnsi="Times New Roman"/>
                <w:sz w:val="24"/>
              </w:rPr>
              <w:t>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C7438D">
            <w:pPr>
              <w:spacing w:before="0"/>
              <w:jc w:val="both"/>
              <w:rPr>
                <w:rFonts w:ascii="Times New Roman" w:hAnsi="Times New Roman"/>
                <w:sz w:val="24"/>
              </w:rPr>
            </w:pPr>
            <w:r w:rsidRPr="000127F9">
              <w:rPr>
                <w:rFonts w:ascii="Times New Roman" w:hAnsi="Times New Roman"/>
                <w:sz w:val="24"/>
              </w:rPr>
              <w:t>«_</w:t>
            </w:r>
            <w:r w:rsidR="00C7438D">
              <w:rPr>
                <w:rFonts w:ascii="Times New Roman" w:hAnsi="Times New Roman"/>
                <w:sz w:val="24"/>
              </w:rPr>
              <w:t>04</w:t>
            </w:r>
            <w:r w:rsidRPr="000127F9">
              <w:rPr>
                <w:rFonts w:ascii="Times New Roman" w:hAnsi="Times New Roman"/>
                <w:sz w:val="24"/>
              </w:rPr>
              <w:t>_» ___</w:t>
            </w:r>
            <w:r w:rsidR="00C7438D">
              <w:rPr>
                <w:rFonts w:ascii="Times New Roman" w:hAnsi="Times New Roman"/>
                <w:sz w:val="24"/>
              </w:rPr>
              <w:t>12</w:t>
            </w:r>
            <w:r w:rsidRPr="000127F9">
              <w:rPr>
                <w:rFonts w:ascii="Times New Roman" w:hAnsi="Times New Roman"/>
                <w:sz w:val="24"/>
              </w:rPr>
              <w:t>_______  _</w:t>
            </w:r>
            <w:r w:rsidR="00C7438D">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ED1D10">
        <w:rPr>
          <w:rFonts w:ascii="Times New Roman" w:hAnsi="Times New Roman"/>
          <w:b/>
          <w:sz w:val="24"/>
        </w:rPr>
        <w:t>884</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C7438D">
        <w:rPr>
          <w:rFonts w:ascii="Times New Roman" w:hAnsi="Times New Roman"/>
          <w:b/>
          <w:sz w:val="24"/>
        </w:rPr>
        <w:t>04.12.</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151</w:t>
      </w:r>
      <w:r w:rsidR="00ED1D10">
        <w:rPr>
          <w:rFonts w:ascii="Times New Roman" w:hAnsi="Times New Roman"/>
          <w:b/>
          <w:sz w:val="24"/>
        </w:rPr>
        <w:t>7</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ED1D10" w:rsidRPr="00ED1D10">
        <w:rPr>
          <w:rFonts w:ascii="Times New Roman" w:hAnsi="Times New Roman"/>
          <w:b/>
          <w:sz w:val="24"/>
          <w:u w:val="single"/>
        </w:rPr>
        <w:t xml:space="preserve">Разработка/доработка/техническая поддержка </w:t>
      </w:r>
      <w:proofErr w:type="spellStart"/>
      <w:r w:rsidR="00ED1D10" w:rsidRPr="00ED1D10">
        <w:rPr>
          <w:rFonts w:ascii="Times New Roman" w:hAnsi="Times New Roman"/>
          <w:b/>
          <w:sz w:val="24"/>
          <w:u w:val="single"/>
        </w:rPr>
        <w:t>геологогеофизических</w:t>
      </w:r>
      <w:proofErr w:type="spellEnd"/>
      <w:r w:rsidR="00ED1D10" w:rsidRPr="00ED1D10">
        <w:rPr>
          <w:rFonts w:ascii="Times New Roman" w:hAnsi="Times New Roman"/>
          <w:b/>
          <w:sz w:val="24"/>
          <w:u w:val="single"/>
        </w:rPr>
        <w:t xml:space="preserve"> и промысловых приложений</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354B7A">
        <w:rPr>
          <w:rFonts w:ascii="Times New Roman" w:hAnsi="Times New Roman"/>
          <w:sz w:val="24"/>
        </w:rPr>
        <w:t>31.05</w:t>
      </w:r>
      <w:r w:rsidR="00C24ACB" w:rsidRPr="00D12CD3">
        <w:rPr>
          <w:rFonts w:ascii="Times New Roman" w:hAnsi="Times New Roman"/>
          <w:sz w:val="24"/>
        </w:rPr>
        <w:t xml:space="preserve">.2016г.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w:t>
      </w:r>
      <w:r w:rsidR="00ED1D10">
        <w:rPr>
          <w:rFonts w:ascii="Times New Roman" w:hAnsi="Times New Roman"/>
          <w:sz w:val="24"/>
        </w:rPr>
        <w:t xml:space="preserve">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w:t>
      </w:r>
      <w:r w:rsidR="00ED1D10">
        <w:rPr>
          <w:rFonts w:ascii="Times New Roman" w:hAnsi="Times New Roman"/>
          <w:sz w:val="24"/>
        </w:rPr>
        <w:t xml:space="preserve"> </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w:t>
      </w:r>
      <w:r w:rsidR="00ED1D10">
        <w:rPr>
          <w:rFonts w:ascii="Times New Roman" w:hAnsi="Times New Roman"/>
          <w:sz w:val="24"/>
        </w:rPr>
        <w:t xml:space="preserve">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D1D10">
        <w:rPr>
          <w:rFonts w:ascii="Times New Roman" w:hAnsi="Times New Roman"/>
          <w:b/>
          <w:sz w:val="24"/>
        </w:rPr>
        <w:t>ложение на № 884</w:t>
      </w:r>
      <w:r w:rsidR="00496585">
        <w:rPr>
          <w:rFonts w:ascii="Times New Roman" w:hAnsi="Times New Roman"/>
          <w:b/>
          <w:sz w:val="24"/>
        </w:rPr>
        <w:t>/</w:t>
      </w:r>
      <w:r w:rsidR="008A1AF9" w:rsidRPr="00D12CD3">
        <w:rPr>
          <w:rFonts w:ascii="Times New Roman" w:hAnsi="Times New Roman"/>
          <w:b/>
          <w:sz w:val="24"/>
        </w:rPr>
        <w:t xml:space="preserve">ТК/2015  от </w:t>
      </w:r>
      <w:r w:rsidR="009730D0">
        <w:rPr>
          <w:rFonts w:ascii="Times New Roman" w:hAnsi="Times New Roman"/>
          <w:b/>
          <w:sz w:val="24"/>
        </w:rPr>
        <w:t>04.12.</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F23062">
        <w:rPr>
          <w:rFonts w:ascii="Times New Roman" w:hAnsi="Times New Roman"/>
          <w:b/>
          <w:sz w:val="24"/>
        </w:rPr>
        <w:t>04</w:t>
      </w:r>
      <w:r w:rsidRPr="00D12CD3">
        <w:rPr>
          <w:rFonts w:ascii="Times New Roman" w:hAnsi="Times New Roman"/>
          <w:b/>
          <w:sz w:val="24"/>
        </w:rPr>
        <w:t>_» __</w:t>
      </w:r>
      <w:r w:rsidR="00F23062">
        <w:rPr>
          <w:rFonts w:ascii="Times New Roman" w:hAnsi="Times New Roman"/>
          <w:b/>
          <w:sz w:val="24"/>
        </w:rPr>
        <w:t>12</w:t>
      </w:r>
      <w:r w:rsidRPr="00D12CD3">
        <w:rPr>
          <w:rFonts w:ascii="Times New Roman" w:hAnsi="Times New Roman"/>
          <w:b/>
          <w:sz w:val="24"/>
        </w:rPr>
        <w:t xml:space="preserve">______________ </w:t>
      </w:r>
      <w:r w:rsidR="00F23062">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F23062">
        <w:rPr>
          <w:rFonts w:ascii="Times New Roman" w:hAnsi="Times New Roman"/>
          <w:b/>
          <w:sz w:val="24"/>
        </w:rPr>
        <w:t>15</w:t>
      </w:r>
      <w:r w:rsidRPr="00D12CD3">
        <w:rPr>
          <w:rFonts w:ascii="Times New Roman" w:hAnsi="Times New Roman"/>
          <w:b/>
          <w:sz w:val="24"/>
        </w:rPr>
        <w:t>__:_</w:t>
      </w:r>
      <w:r w:rsidR="00F23062">
        <w:rPr>
          <w:rFonts w:ascii="Times New Roman" w:hAnsi="Times New Roman"/>
          <w:b/>
          <w:sz w:val="24"/>
        </w:rPr>
        <w:t xml:space="preserve">00ч. </w:t>
      </w:r>
      <w:proofErr w:type="gramStart"/>
      <w:r w:rsidR="00F23062">
        <w:rPr>
          <w:rFonts w:ascii="Times New Roman" w:hAnsi="Times New Roman"/>
          <w:b/>
          <w:sz w:val="24"/>
        </w:rPr>
        <w:t>МСК</w:t>
      </w:r>
      <w:proofErr w:type="gramEnd"/>
      <w:r w:rsidRPr="00D12CD3">
        <w:rPr>
          <w:rFonts w:ascii="Times New Roman" w:hAnsi="Times New Roman"/>
          <w:b/>
          <w:sz w:val="24"/>
        </w:rPr>
        <w:t>_ «_</w:t>
      </w:r>
      <w:r w:rsidR="00F23062">
        <w:rPr>
          <w:rFonts w:ascii="Times New Roman" w:hAnsi="Times New Roman"/>
          <w:b/>
          <w:sz w:val="24"/>
        </w:rPr>
        <w:t>17</w:t>
      </w:r>
      <w:r w:rsidRPr="00D12CD3">
        <w:rPr>
          <w:rFonts w:ascii="Times New Roman" w:hAnsi="Times New Roman"/>
          <w:b/>
          <w:sz w:val="24"/>
        </w:rPr>
        <w:t>_» _</w:t>
      </w:r>
      <w:r w:rsidR="00F23062">
        <w:rPr>
          <w:rFonts w:ascii="Times New Roman" w:hAnsi="Times New Roman"/>
          <w:b/>
          <w:sz w:val="24"/>
        </w:rPr>
        <w:t>12</w:t>
      </w:r>
      <w:r w:rsidRPr="00D12CD3">
        <w:rPr>
          <w:rFonts w:ascii="Times New Roman" w:hAnsi="Times New Roman"/>
          <w:b/>
          <w:sz w:val="24"/>
        </w:rPr>
        <w:t xml:space="preserve">___________ </w:t>
      </w:r>
      <w:r w:rsidR="00F23062">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354B7A">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335FEA">
        <w:rPr>
          <w:rFonts w:ascii="Times New Roman" w:hAnsi="Times New Roman"/>
          <w:sz w:val="24"/>
        </w:rPr>
        <w:t>14</w:t>
      </w:r>
      <w:r w:rsidR="00FA3E46" w:rsidRPr="00D12CD3">
        <w:rPr>
          <w:rFonts w:ascii="Times New Roman" w:hAnsi="Times New Roman"/>
          <w:sz w:val="24"/>
        </w:rPr>
        <w:t>_</w:t>
      </w:r>
      <w:r w:rsidR="00D513DB" w:rsidRPr="00D12CD3">
        <w:rPr>
          <w:rFonts w:ascii="Times New Roman" w:hAnsi="Times New Roman"/>
          <w:sz w:val="24"/>
        </w:rPr>
        <w:t>» ___</w:t>
      </w:r>
      <w:r w:rsidR="00335FEA">
        <w:rPr>
          <w:rFonts w:ascii="Times New Roman" w:hAnsi="Times New Roman"/>
          <w:sz w:val="24"/>
        </w:rPr>
        <w:t>12</w:t>
      </w:r>
      <w:r w:rsidR="00D513DB" w:rsidRPr="00D12CD3">
        <w:rPr>
          <w:rFonts w:ascii="Times New Roman" w:hAnsi="Times New Roman"/>
          <w:sz w:val="24"/>
        </w:rPr>
        <w:t xml:space="preserve">_____________ </w:t>
      </w:r>
      <w:r w:rsidR="00335FEA">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Начальник вычислительного центра</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Кощеев Сергей </w:t>
      </w:r>
      <w:proofErr w:type="spellStart"/>
      <w:r w:rsidRPr="00EA132E">
        <w:rPr>
          <w:rFonts w:ascii="Times New Roman" w:hAnsi="Times New Roman"/>
          <w:sz w:val="24"/>
        </w:rPr>
        <w:t>Изотьевич</w:t>
      </w:r>
      <w:proofErr w:type="spellEnd"/>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41-400, </w:t>
      </w:r>
      <w:r w:rsidRPr="001F4995">
        <w:rPr>
          <w:rFonts w:ascii="Times New Roman" w:hAnsi="Times New Roman"/>
          <w:sz w:val="24"/>
          <w:u w:val="single"/>
        </w:rPr>
        <w:t>KosceevSI@mng.slavneft.ru</w:t>
      </w:r>
    </w:p>
    <w:p w:rsidR="00EA132E" w:rsidRPr="00EA132E" w:rsidRDefault="00EA132E"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Зам. начальника центра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Глебов Евгений Сергеевич</w:t>
      </w:r>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41-450, </w:t>
      </w:r>
      <w:hyperlink r:id="rId9" w:history="1">
        <w:r w:rsidR="001F4995" w:rsidRPr="00F84CE5">
          <w:rPr>
            <w:rStyle w:val="aa"/>
            <w:rFonts w:ascii="Times New Roman" w:hAnsi="Times New Roman"/>
            <w:sz w:val="24"/>
          </w:rPr>
          <w:t>GlebovES@mng.slavneft.ru</w:t>
        </w:r>
      </w:hyperlink>
    </w:p>
    <w:p w:rsidR="001F4995" w:rsidRDefault="001F4995"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r w:rsidR="00ED1D10">
        <w:rPr>
          <w:rFonts w:ascii="Times New Roman" w:hAnsi="Times New Roman"/>
          <w:sz w:val="24"/>
        </w:rPr>
        <w:t xml:space="preserve"> ДЗУ</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Филина Светлана Павловна</w:t>
      </w:r>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45-751, </w:t>
      </w:r>
      <w:hyperlink r:id="rId10" w:history="1">
        <w:r w:rsidRPr="003C3CB8">
          <w:rPr>
            <w:rStyle w:val="aa"/>
            <w:rFonts w:ascii="Times New Roman" w:hAnsi="Times New Roman"/>
            <w:sz w:val="24"/>
          </w:rPr>
          <w:t>FilinaSP@mng.slavneft.ru</w:t>
        </w:r>
      </w:hyperlink>
      <w:r w:rsidRPr="00EA132E">
        <w:rPr>
          <w:rFonts w:ascii="Times New Roman" w:hAnsi="Times New Roman"/>
          <w:sz w:val="24"/>
        </w:rPr>
        <w:t>;</w:t>
      </w:r>
    </w:p>
    <w:p w:rsidR="00552890" w:rsidRPr="00D12CD3"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ED1D10">
        <w:rPr>
          <w:rFonts w:ascii="Times New Roman" w:hAnsi="Times New Roman"/>
          <w:b/>
          <w:sz w:val="24"/>
        </w:rPr>
        <w:t>№ 884</w:t>
      </w:r>
      <w:r w:rsidR="00496585">
        <w:rPr>
          <w:rFonts w:ascii="Times New Roman" w:hAnsi="Times New Roman"/>
          <w:b/>
          <w:sz w:val="24"/>
        </w:rPr>
        <w:t>/</w:t>
      </w:r>
      <w:r w:rsidR="00F42CF0" w:rsidRPr="00D12CD3">
        <w:rPr>
          <w:rFonts w:ascii="Times New Roman" w:hAnsi="Times New Roman"/>
          <w:b/>
          <w:sz w:val="24"/>
        </w:rPr>
        <w:t xml:space="preserve">ТК/2015  от </w:t>
      </w:r>
      <w:r w:rsidR="00335FEA">
        <w:rPr>
          <w:rFonts w:ascii="Times New Roman" w:hAnsi="Times New Roman"/>
          <w:b/>
          <w:sz w:val="24"/>
        </w:rPr>
        <w:t>04.12.</w:t>
      </w:r>
      <w:r w:rsidR="00F42CF0" w:rsidRPr="00D12CD3">
        <w:rPr>
          <w:rFonts w:ascii="Times New Roman" w:hAnsi="Times New Roman"/>
          <w:b/>
          <w:sz w:val="24"/>
        </w:rPr>
        <w:t>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lastRenderedPageBreak/>
        <w:t>Извещение о проведении тендера (настоящий документ)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574DC5">
        <w:rPr>
          <w:rFonts w:ascii="Times New Roman" w:hAnsi="Times New Roman"/>
          <w:sz w:val="24"/>
        </w:rPr>
        <w:t>4</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574DC5">
        <w:rPr>
          <w:rFonts w:ascii="Times New Roman" w:hAnsi="Times New Roman"/>
          <w:sz w:val="24"/>
        </w:rPr>
        <w:t xml:space="preserve">14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335FEA" w:rsidRDefault="00335FEA" w:rsidP="00C37F97">
      <w:pPr>
        <w:jc w:val="right"/>
        <w:rPr>
          <w:rFonts w:ascii="Times New Roman" w:hAnsi="Times New Roman"/>
          <w:b/>
          <w:sz w:val="24"/>
        </w:rPr>
      </w:pPr>
    </w:p>
    <w:p w:rsidR="00335FEA" w:rsidRDefault="00335FEA" w:rsidP="00C37F97">
      <w:pPr>
        <w:jc w:val="right"/>
        <w:rPr>
          <w:rFonts w:ascii="Times New Roman" w:hAnsi="Times New Roman"/>
          <w:b/>
          <w:sz w:val="24"/>
        </w:rPr>
      </w:pPr>
    </w:p>
    <w:p w:rsidR="00335FEA" w:rsidRDefault="00335FEA" w:rsidP="00C37F97">
      <w:pPr>
        <w:jc w:val="right"/>
        <w:rPr>
          <w:rFonts w:ascii="Times New Roman" w:hAnsi="Times New Roman"/>
          <w:b/>
          <w:sz w:val="24"/>
        </w:rPr>
      </w:pPr>
    </w:p>
    <w:p w:rsidR="00335FEA" w:rsidRDefault="00335FEA"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C37F97" w:rsidRPr="00C37F97" w:rsidRDefault="00C37F97" w:rsidP="00ED1D10">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Предмет закупки:</w:t>
      </w:r>
      <w:r w:rsidRPr="0092313F">
        <w:rPr>
          <w:rFonts w:ascii="Times New Roman" w:hAnsi="Times New Roman" w:cs="Times New Roman"/>
          <w:sz w:val="24"/>
          <w:szCs w:val="24"/>
        </w:rPr>
        <w:t xml:space="preserve"> </w:t>
      </w:r>
      <w:r w:rsidR="00ED1D10" w:rsidRPr="00ED1D10">
        <w:rPr>
          <w:rFonts w:ascii="Times New Roman" w:hAnsi="Times New Roman" w:cs="Times New Roman"/>
          <w:sz w:val="24"/>
          <w:szCs w:val="24"/>
        </w:rPr>
        <w:t>оказание услуг по технической поддержке программного обеспечения</w:t>
      </w:r>
      <w:r w:rsidR="00ED1D10">
        <w:rPr>
          <w:rFonts w:ascii="Times New Roman" w:hAnsi="Times New Roman" w:cs="Times New Roman"/>
          <w:sz w:val="24"/>
          <w:szCs w:val="24"/>
        </w:rPr>
        <w:t xml:space="preserve"> </w:t>
      </w:r>
      <w:r w:rsidR="00ED1D10" w:rsidRPr="00ED1D10">
        <w:rPr>
          <w:rFonts w:ascii="Times New Roman" w:hAnsi="Times New Roman" w:cs="Times New Roman"/>
          <w:sz w:val="24"/>
          <w:szCs w:val="24"/>
        </w:rPr>
        <w:t>OIS-</w:t>
      </w:r>
      <w:proofErr w:type="spellStart"/>
      <w:r w:rsidR="00ED1D10" w:rsidRPr="00ED1D10">
        <w:rPr>
          <w:rFonts w:ascii="Times New Roman" w:hAnsi="Times New Roman" w:cs="Times New Roman"/>
          <w:sz w:val="24"/>
          <w:szCs w:val="24"/>
        </w:rPr>
        <w:t>Production</w:t>
      </w:r>
      <w:proofErr w:type="spellEnd"/>
      <w:r w:rsidRPr="00C37F97">
        <w:rPr>
          <w:rFonts w:ascii="Times New Roman" w:hAnsi="Times New Roman"/>
          <w:sz w:val="24"/>
        </w:rPr>
        <w:t>.</w:t>
      </w:r>
      <w:r w:rsidRPr="00C37F97">
        <w:rPr>
          <w:rFonts w:ascii="Times New Roman" w:hAnsi="Times New Roman" w:cs="Times New Roman"/>
          <w:sz w:val="24"/>
          <w:szCs w:val="24"/>
        </w:rPr>
        <w:t xml:space="preserve">  </w:t>
      </w:r>
    </w:p>
    <w:p w:rsidR="00C37F97" w:rsidRPr="0092313F" w:rsidRDefault="00C37F97" w:rsidP="00C37F97">
      <w:pPr>
        <w:pStyle w:val="ab"/>
        <w:numPr>
          <w:ilvl w:val="0"/>
          <w:numId w:val="31"/>
        </w:numPr>
        <w:spacing w:before="0"/>
        <w:ind w:left="714" w:hanging="357"/>
        <w:jc w:val="both"/>
        <w:rPr>
          <w:rFonts w:ascii="Times New Roman" w:hAnsi="Times New Roman"/>
          <w:sz w:val="24"/>
        </w:rPr>
      </w:pPr>
      <w:r w:rsidRPr="0092313F">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92313F">
        <w:rPr>
          <w:rFonts w:ascii="Times New Roman" w:hAnsi="Times New Roman" w:cs="Times New Roman"/>
          <w:sz w:val="24"/>
          <w:szCs w:val="24"/>
        </w:rPr>
        <w:t xml:space="preserve"> с 01.0</w:t>
      </w:r>
      <w:r w:rsidR="00ED1D10">
        <w:rPr>
          <w:rFonts w:ascii="Times New Roman" w:hAnsi="Times New Roman" w:cs="Times New Roman"/>
          <w:sz w:val="24"/>
          <w:szCs w:val="24"/>
        </w:rPr>
        <w:t>4</w:t>
      </w:r>
      <w:r w:rsidRPr="0092313F">
        <w:rPr>
          <w:rFonts w:ascii="Times New Roman" w:hAnsi="Times New Roman" w:cs="Times New Roman"/>
          <w:sz w:val="24"/>
          <w:szCs w:val="24"/>
        </w:rPr>
        <w:t>.2016г. по 3</w:t>
      </w:r>
      <w:r>
        <w:rPr>
          <w:rFonts w:ascii="Times New Roman" w:hAnsi="Times New Roman" w:cs="Times New Roman"/>
          <w:sz w:val="24"/>
          <w:szCs w:val="24"/>
        </w:rPr>
        <w:t>1.12</w:t>
      </w:r>
      <w:r w:rsidRPr="0092313F">
        <w:rPr>
          <w:rFonts w:ascii="Times New Roman" w:hAnsi="Times New Roman" w:cs="Times New Roman"/>
          <w:sz w:val="24"/>
          <w:szCs w:val="24"/>
        </w:rPr>
        <w:t>.2016г.</w:t>
      </w:r>
    </w:p>
    <w:p w:rsidR="00C37F97" w:rsidRPr="007442E0" w:rsidRDefault="00ED1D10" w:rsidP="00C37F97">
      <w:pPr>
        <w:numPr>
          <w:ilvl w:val="0"/>
          <w:numId w:val="31"/>
        </w:numPr>
        <w:autoSpaceDE w:val="0"/>
        <w:autoSpaceDN w:val="0"/>
        <w:adjustRightInd w:val="0"/>
        <w:spacing w:before="0"/>
        <w:contextualSpacing/>
        <w:jc w:val="both"/>
        <w:rPr>
          <w:rFonts w:ascii="Times New Roman" w:hAnsi="Times New Roman"/>
          <w:sz w:val="23"/>
          <w:szCs w:val="23"/>
        </w:rPr>
      </w:pPr>
      <w:r>
        <w:rPr>
          <w:rFonts w:ascii="Times New Roman" w:hAnsi="Times New Roman"/>
          <w:sz w:val="23"/>
          <w:szCs w:val="23"/>
          <w:u w:val="single"/>
        </w:rPr>
        <w:t xml:space="preserve">Форма 6к «Коммерческое предложение» </w:t>
      </w:r>
      <w:r w:rsidR="00C37F97" w:rsidRPr="0092313F">
        <w:rPr>
          <w:rFonts w:ascii="Times New Roman" w:hAnsi="Times New Roman"/>
          <w:sz w:val="23"/>
          <w:szCs w:val="23"/>
          <w:u w:val="single"/>
        </w:rPr>
        <w:t xml:space="preserve">является </w:t>
      </w:r>
      <w:r>
        <w:rPr>
          <w:rFonts w:ascii="Times New Roman" w:hAnsi="Times New Roman"/>
          <w:b/>
          <w:sz w:val="23"/>
          <w:szCs w:val="23"/>
          <w:u w:val="single"/>
        </w:rPr>
        <w:t>неделимой</w:t>
      </w:r>
      <w:r w:rsidR="00C37F97" w:rsidRPr="0092313F">
        <w:rPr>
          <w:rFonts w:ascii="Times New Roman" w:hAnsi="Times New Roman"/>
          <w:b/>
          <w:sz w:val="23"/>
          <w:szCs w:val="23"/>
          <w:u w:val="single"/>
        </w:rPr>
        <w:t>.</w:t>
      </w: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C37F97" w:rsidRDefault="001D13CA" w:rsidP="00C37F97">
      <w:pPr>
        <w:pStyle w:val="ab"/>
        <w:numPr>
          <w:ilvl w:val="0"/>
          <w:numId w:val="9"/>
        </w:numPr>
        <w:autoSpaceDE w:val="0"/>
        <w:autoSpaceDN w:val="0"/>
        <w:adjustRightInd w:val="0"/>
        <w:spacing w:before="0" w:line="276" w:lineRule="auto"/>
        <w:jc w:val="both"/>
        <w:rPr>
          <w:rFonts w:ascii="Times New Roman" w:hAnsi="Times New Roman"/>
          <w:b/>
          <w:szCs w:val="22"/>
        </w:rPr>
      </w:pPr>
      <w:r>
        <w:rPr>
          <w:rFonts w:ascii="Times New Roman" w:hAnsi="Times New Roman"/>
          <w:b/>
          <w:szCs w:val="22"/>
        </w:rPr>
        <w:t>Требования к предмету закупки</w:t>
      </w:r>
      <w:r w:rsidR="00ED1D10">
        <w:rPr>
          <w:rFonts w:ascii="Times New Roman" w:hAnsi="Times New Roman"/>
          <w:b/>
          <w:szCs w:val="22"/>
        </w:rPr>
        <w:t xml:space="preserve"> (техническое задание)</w:t>
      </w:r>
      <w:r>
        <w:rPr>
          <w:rFonts w:ascii="Times New Roman" w:hAnsi="Times New Roman"/>
          <w:b/>
          <w:szCs w:val="22"/>
        </w:rPr>
        <w:t>.</w:t>
      </w:r>
      <w:r w:rsidR="00C37F97" w:rsidRPr="00DF1A61">
        <w:rPr>
          <w:rFonts w:ascii="Times New Roman" w:hAnsi="Times New Roman"/>
          <w:b/>
          <w:szCs w:val="22"/>
        </w:rPr>
        <w:t xml:space="preserve"> </w:t>
      </w:r>
    </w:p>
    <w:p w:rsidR="007442E0"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794" w:type="dxa"/>
        <w:tblInd w:w="-318" w:type="dxa"/>
        <w:shd w:val="clear" w:color="auto" w:fill="FFFFFF" w:themeFill="background1"/>
        <w:tblLayout w:type="fixed"/>
        <w:tblLook w:val="04A0" w:firstRow="1" w:lastRow="0" w:firstColumn="1" w:lastColumn="0" w:noHBand="0" w:noVBand="1"/>
      </w:tblPr>
      <w:tblGrid>
        <w:gridCol w:w="852"/>
        <w:gridCol w:w="4110"/>
        <w:gridCol w:w="2853"/>
        <w:gridCol w:w="1092"/>
        <w:gridCol w:w="1887"/>
      </w:tblGrid>
      <w:tr w:rsidR="003408B5" w:rsidRPr="001D13CA" w:rsidTr="007810E8">
        <w:trPr>
          <w:trHeight w:val="315"/>
        </w:trPr>
        <w:tc>
          <w:tcPr>
            <w:tcW w:w="852" w:type="dxa"/>
            <w:shd w:val="clear" w:color="auto" w:fill="FFFFFF" w:themeFill="background1"/>
            <w:vAlign w:val="center"/>
            <w:hideMark/>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 xml:space="preserve">№ </w:t>
            </w:r>
            <w:proofErr w:type="gramStart"/>
            <w:r w:rsidRPr="00C37F97">
              <w:rPr>
                <w:rFonts w:ascii="Times New Roman" w:hAnsi="Times New Roman"/>
                <w:sz w:val="20"/>
                <w:szCs w:val="20"/>
              </w:rPr>
              <w:t>п</w:t>
            </w:r>
            <w:proofErr w:type="gramEnd"/>
            <w:r w:rsidRPr="00C37F97">
              <w:rPr>
                <w:rFonts w:ascii="Times New Roman" w:hAnsi="Times New Roman"/>
                <w:sz w:val="20"/>
                <w:szCs w:val="20"/>
              </w:rPr>
              <w:t>/п</w:t>
            </w:r>
          </w:p>
        </w:tc>
        <w:tc>
          <w:tcPr>
            <w:tcW w:w="4110"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Требования (параметр оценки)</w:t>
            </w:r>
          </w:p>
        </w:tc>
        <w:tc>
          <w:tcPr>
            <w:tcW w:w="2853"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Требуемые подтверждающие документы</w:t>
            </w:r>
          </w:p>
        </w:tc>
        <w:tc>
          <w:tcPr>
            <w:tcW w:w="1092"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Ед. изм</w:t>
            </w:r>
            <w:r w:rsidR="003408B5" w:rsidRPr="001D13CA">
              <w:rPr>
                <w:rFonts w:ascii="Times New Roman" w:hAnsi="Times New Roman"/>
                <w:sz w:val="20"/>
                <w:szCs w:val="20"/>
              </w:rPr>
              <w:t>.</w:t>
            </w:r>
          </w:p>
        </w:tc>
        <w:tc>
          <w:tcPr>
            <w:tcW w:w="1887"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Условия соответствия</w:t>
            </w:r>
          </w:p>
        </w:tc>
      </w:tr>
      <w:tr w:rsidR="003408B5" w:rsidRPr="001D13CA" w:rsidTr="007810E8">
        <w:trPr>
          <w:trHeight w:val="70"/>
        </w:trPr>
        <w:tc>
          <w:tcPr>
            <w:tcW w:w="852"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1</w:t>
            </w:r>
          </w:p>
        </w:tc>
        <w:tc>
          <w:tcPr>
            <w:tcW w:w="4110"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2</w:t>
            </w:r>
          </w:p>
        </w:tc>
        <w:tc>
          <w:tcPr>
            <w:tcW w:w="2853"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3</w:t>
            </w:r>
          </w:p>
        </w:tc>
        <w:tc>
          <w:tcPr>
            <w:tcW w:w="1092"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4</w:t>
            </w:r>
          </w:p>
        </w:tc>
        <w:tc>
          <w:tcPr>
            <w:tcW w:w="1887"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5</w:t>
            </w:r>
          </w:p>
        </w:tc>
      </w:tr>
      <w:tr w:rsidR="00C37F97" w:rsidRPr="001D13CA" w:rsidTr="007810E8">
        <w:trPr>
          <w:trHeight w:val="142"/>
        </w:trPr>
        <w:tc>
          <w:tcPr>
            <w:tcW w:w="10794" w:type="dxa"/>
            <w:gridSpan w:val="5"/>
            <w:shd w:val="clear" w:color="auto" w:fill="FFFFFF" w:themeFill="background1"/>
          </w:tcPr>
          <w:p w:rsidR="00C37F97" w:rsidRPr="001D13CA" w:rsidRDefault="00C37F97" w:rsidP="003408B5">
            <w:pPr>
              <w:pStyle w:val="ab"/>
              <w:numPr>
                <w:ilvl w:val="0"/>
                <w:numId w:val="32"/>
              </w:numPr>
              <w:jc w:val="center"/>
              <w:rPr>
                <w:rFonts w:ascii="Times New Roman" w:hAnsi="Times New Roman"/>
                <w:i/>
                <w:sz w:val="20"/>
                <w:szCs w:val="20"/>
              </w:rPr>
            </w:pPr>
            <w:r w:rsidRPr="001D13CA">
              <w:rPr>
                <w:rFonts w:ascii="Times New Roman" w:hAnsi="Times New Roman"/>
                <w:i/>
                <w:sz w:val="20"/>
                <w:szCs w:val="20"/>
              </w:rPr>
              <w:t>Общие положения</w:t>
            </w:r>
          </w:p>
        </w:tc>
      </w:tr>
      <w:tr w:rsidR="008216CB" w:rsidRPr="001D13CA" w:rsidTr="007810E8">
        <w:trPr>
          <w:trHeight w:val="866"/>
        </w:trPr>
        <w:tc>
          <w:tcPr>
            <w:tcW w:w="852" w:type="dxa"/>
            <w:tcBorders>
              <w:bottom w:val="single" w:sz="4" w:space="0" w:color="auto"/>
            </w:tcBorders>
            <w:shd w:val="clear" w:color="auto" w:fill="FFFFFF" w:themeFill="background1"/>
            <w:hideMark/>
          </w:tcPr>
          <w:p w:rsidR="008216CB" w:rsidRPr="00C37F97" w:rsidRDefault="008216CB" w:rsidP="00C37F97">
            <w:pPr>
              <w:rPr>
                <w:rFonts w:ascii="Times New Roman" w:hAnsi="Times New Roman"/>
                <w:sz w:val="20"/>
                <w:szCs w:val="20"/>
              </w:rPr>
            </w:pPr>
            <w:r w:rsidRPr="00C37F97">
              <w:rPr>
                <w:rFonts w:ascii="Times New Roman" w:hAnsi="Times New Roman"/>
                <w:sz w:val="20"/>
                <w:szCs w:val="20"/>
              </w:rPr>
              <w:t>1</w:t>
            </w:r>
            <w:r w:rsidRPr="001D13CA">
              <w:rPr>
                <w:rFonts w:ascii="Times New Roman" w:hAnsi="Times New Roman"/>
                <w:sz w:val="20"/>
                <w:szCs w:val="20"/>
              </w:rPr>
              <w:t>.1.</w:t>
            </w:r>
          </w:p>
        </w:tc>
        <w:tc>
          <w:tcPr>
            <w:tcW w:w="4110" w:type="dxa"/>
            <w:tcBorders>
              <w:bottom w:val="single" w:sz="4" w:space="0" w:color="auto"/>
            </w:tcBorders>
            <w:shd w:val="clear" w:color="auto" w:fill="FFFFFF" w:themeFill="background1"/>
          </w:tcPr>
          <w:p w:rsidR="008216CB" w:rsidRPr="00C37F97" w:rsidRDefault="008216CB" w:rsidP="00C37F97">
            <w:pPr>
              <w:rPr>
                <w:rFonts w:ascii="Times New Roman" w:hAnsi="Times New Roman"/>
                <w:sz w:val="20"/>
                <w:szCs w:val="20"/>
              </w:rPr>
            </w:pPr>
            <w:r w:rsidRPr="008216CB">
              <w:rPr>
                <w:rFonts w:ascii="Times New Roman" w:hAnsi="Times New Roman"/>
                <w:sz w:val="20"/>
                <w:szCs w:val="20"/>
              </w:rPr>
              <w:t>Возможность оказания услуг по технической поддержке программного обеспечения "OIS -</w:t>
            </w:r>
            <w:proofErr w:type="spellStart"/>
            <w:r w:rsidRPr="008216CB">
              <w:rPr>
                <w:rFonts w:ascii="Times New Roman" w:hAnsi="Times New Roman"/>
                <w:sz w:val="20"/>
                <w:szCs w:val="20"/>
              </w:rPr>
              <w:t>Production</w:t>
            </w:r>
            <w:proofErr w:type="spellEnd"/>
            <w:r w:rsidRPr="008216CB">
              <w:rPr>
                <w:rFonts w:ascii="Times New Roman" w:hAnsi="Times New Roman"/>
                <w:sz w:val="20"/>
                <w:szCs w:val="20"/>
              </w:rPr>
              <w:t>"</w:t>
            </w:r>
          </w:p>
        </w:tc>
        <w:tc>
          <w:tcPr>
            <w:tcW w:w="2853" w:type="dxa"/>
            <w:vMerge w:val="restart"/>
            <w:shd w:val="clear" w:color="auto" w:fill="FFFFFF" w:themeFill="background1"/>
          </w:tcPr>
          <w:p w:rsidR="008216CB" w:rsidRPr="001D13CA" w:rsidRDefault="008216CB" w:rsidP="003408B5">
            <w:pPr>
              <w:jc w:val="center"/>
              <w:rPr>
                <w:rFonts w:ascii="Times New Roman" w:hAnsi="Times New Roman"/>
                <w:sz w:val="20"/>
                <w:szCs w:val="20"/>
              </w:rPr>
            </w:pPr>
          </w:p>
          <w:p w:rsidR="008216CB" w:rsidRDefault="008216CB" w:rsidP="003408B5">
            <w:pPr>
              <w:jc w:val="center"/>
              <w:rPr>
                <w:rFonts w:ascii="Times New Roman" w:hAnsi="Times New Roman"/>
                <w:sz w:val="20"/>
                <w:szCs w:val="20"/>
              </w:rPr>
            </w:pPr>
          </w:p>
          <w:p w:rsidR="008216CB" w:rsidRPr="00C37F97" w:rsidRDefault="008216CB" w:rsidP="003408B5">
            <w:pPr>
              <w:jc w:val="center"/>
              <w:rPr>
                <w:rFonts w:ascii="Times New Roman" w:hAnsi="Times New Roman"/>
                <w:sz w:val="20"/>
                <w:szCs w:val="20"/>
              </w:rPr>
            </w:pPr>
            <w:r w:rsidRPr="001D13CA">
              <w:rPr>
                <w:rFonts w:ascii="Times New Roman" w:hAnsi="Times New Roman"/>
                <w:sz w:val="20"/>
                <w:szCs w:val="20"/>
              </w:rPr>
              <w:t>Справка за подписью Руководителя</w:t>
            </w:r>
          </w:p>
        </w:tc>
        <w:tc>
          <w:tcPr>
            <w:tcW w:w="1092" w:type="dxa"/>
            <w:vMerge w:val="restart"/>
            <w:shd w:val="clear" w:color="auto" w:fill="FFFFFF" w:themeFill="background1"/>
            <w:hideMark/>
          </w:tcPr>
          <w:p w:rsidR="008216CB" w:rsidRPr="001D13CA" w:rsidRDefault="008216CB" w:rsidP="00C37F97">
            <w:pPr>
              <w:rPr>
                <w:rFonts w:ascii="Times New Roman" w:hAnsi="Times New Roman"/>
                <w:sz w:val="20"/>
                <w:szCs w:val="20"/>
              </w:rPr>
            </w:pPr>
          </w:p>
          <w:p w:rsidR="008216CB" w:rsidRPr="00C37F97" w:rsidRDefault="008216CB"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hideMark/>
          </w:tcPr>
          <w:p w:rsidR="008216CB" w:rsidRPr="001D13CA" w:rsidRDefault="008216CB" w:rsidP="00C37F97">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8216CB" w:rsidRPr="00C37F97" w:rsidRDefault="008216CB" w:rsidP="003408B5">
            <w:pPr>
              <w:rPr>
                <w:rFonts w:ascii="Times New Roman" w:hAnsi="Times New Roman"/>
                <w:sz w:val="20"/>
                <w:szCs w:val="20"/>
              </w:rPr>
            </w:pPr>
          </w:p>
        </w:tc>
      </w:tr>
      <w:tr w:rsidR="008216CB" w:rsidRPr="001D13CA" w:rsidTr="007810E8">
        <w:trPr>
          <w:trHeight w:val="571"/>
        </w:trPr>
        <w:tc>
          <w:tcPr>
            <w:tcW w:w="852" w:type="dxa"/>
            <w:tcBorders>
              <w:bottom w:val="single" w:sz="4" w:space="0" w:color="auto"/>
            </w:tcBorders>
            <w:shd w:val="clear" w:color="auto" w:fill="FFFFFF" w:themeFill="background1"/>
            <w:hideMark/>
          </w:tcPr>
          <w:p w:rsidR="008216CB" w:rsidRPr="00C37F97" w:rsidRDefault="008216CB" w:rsidP="00C37F97">
            <w:pPr>
              <w:rPr>
                <w:rFonts w:ascii="Times New Roman" w:hAnsi="Times New Roman"/>
                <w:sz w:val="20"/>
                <w:szCs w:val="20"/>
              </w:rPr>
            </w:pPr>
            <w:r w:rsidRPr="001D13CA">
              <w:rPr>
                <w:rFonts w:ascii="Times New Roman" w:hAnsi="Times New Roman"/>
                <w:sz w:val="20"/>
                <w:szCs w:val="20"/>
              </w:rPr>
              <w:t>1.2.</w:t>
            </w:r>
          </w:p>
        </w:tc>
        <w:tc>
          <w:tcPr>
            <w:tcW w:w="4110" w:type="dxa"/>
            <w:tcBorders>
              <w:bottom w:val="single" w:sz="4" w:space="0" w:color="auto"/>
            </w:tcBorders>
            <w:shd w:val="clear" w:color="auto" w:fill="FFFFFF" w:themeFill="background1"/>
            <w:hideMark/>
          </w:tcPr>
          <w:p w:rsidR="008216CB" w:rsidRPr="00C37F97" w:rsidRDefault="008216CB" w:rsidP="00C37F97">
            <w:pPr>
              <w:rPr>
                <w:rFonts w:ascii="Times New Roman" w:hAnsi="Times New Roman"/>
                <w:sz w:val="20"/>
                <w:szCs w:val="20"/>
              </w:rPr>
            </w:pPr>
            <w:r w:rsidRPr="008216CB">
              <w:rPr>
                <w:rFonts w:ascii="Times New Roman" w:hAnsi="Times New Roman"/>
                <w:sz w:val="20"/>
                <w:szCs w:val="20"/>
              </w:rPr>
              <w:t>Место выполнения работ/оказания услуг:</w:t>
            </w:r>
            <w:r>
              <w:rPr>
                <w:rFonts w:ascii="Times New Roman" w:hAnsi="Times New Roman"/>
                <w:sz w:val="20"/>
                <w:szCs w:val="20"/>
              </w:rPr>
              <w:t xml:space="preserve"> </w:t>
            </w:r>
            <w:r w:rsidRPr="008216CB">
              <w:rPr>
                <w:rFonts w:ascii="Times New Roman" w:hAnsi="Times New Roman"/>
                <w:sz w:val="20"/>
                <w:szCs w:val="20"/>
              </w:rPr>
              <w:t>ОАО "СН-МНГ"</w:t>
            </w:r>
          </w:p>
        </w:tc>
        <w:tc>
          <w:tcPr>
            <w:tcW w:w="2853" w:type="dxa"/>
            <w:vMerge/>
            <w:shd w:val="clear" w:color="auto" w:fill="FFFFFF" w:themeFill="background1"/>
            <w:hideMark/>
          </w:tcPr>
          <w:p w:rsidR="008216CB" w:rsidRPr="00C37F97" w:rsidRDefault="008216CB" w:rsidP="00C37F97">
            <w:pPr>
              <w:rPr>
                <w:rFonts w:ascii="Times New Roman" w:hAnsi="Times New Roman"/>
                <w:sz w:val="20"/>
                <w:szCs w:val="20"/>
              </w:rPr>
            </w:pPr>
          </w:p>
        </w:tc>
        <w:tc>
          <w:tcPr>
            <w:tcW w:w="1092" w:type="dxa"/>
            <w:vMerge/>
            <w:tcBorders>
              <w:bottom w:val="single" w:sz="4" w:space="0" w:color="auto"/>
            </w:tcBorders>
            <w:shd w:val="clear" w:color="auto" w:fill="FFFFFF" w:themeFill="background1"/>
            <w:hideMark/>
          </w:tcPr>
          <w:p w:rsidR="008216CB" w:rsidRPr="00C37F97" w:rsidRDefault="008216CB" w:rsidP="00C37F97">
            <w:pPr>
              <w:rPr>
                <w:rFonts w:ascii="Times New Roman" w:hAnsi="Times New Roman"/>
                <w:sz w:val="20"/>
                <w:szCs w:val="20"/>
              </w:rPr>
            </w:pPr>
          </w:p>
        </w:tc>
        <w:tc>
          <w:tcPr>
            <w:tcW w:w="1887" w:type="dxa"/>
            <w:vMerge/>
            <w:tcBorders>
              <w:bottom w:val="single" w:sz="4" w:space="0" w:color="auto"/>
            </w:tcBorders>
            <w:shd w:val="clear" w:color="auto" w:fill="FFFFFF" w:themeFill="background1"/>
            <w:vAlign w:val="center"/>
            <w:hideMark/>
          </w:tcPr>
          <w:p w:rsidR="008216CB" w:rsidRPr="00C37F97" w:rsidRDefault="008216CB" w:rsidP="00C37F97">
            <w:pPr>
              <w:jc w:val="center"/>
              <w:rPr>
                <w:rFonts w:ascii="Times New Roman" w:hAnsi="Times New Roman"/>
                <w:sz w:val="20"/>
                <w:szCs w:val="20"/>
              </w:rPr>
            </w:pPr>
          </w:p>
        </w:tc>
      </w:tr>
      <w:tr w:rsidR="008216CB" w:rsidRPr="001D13CA" w:rsidTr="007810E8">
        <w:trPr>
          <w:trHeight w:val="693"/>
        </w:trPr>
        <w:tc>
          <w:tcPr>
            <w:tcW w:w="852" w:type="dxa"/>
            <w:tcBorders>
              <w:bottom w:val="single" w:sz="4" w:space="0" w:color="auto"/>
            </w:tcBorders>
            <w:shd w:val="clear" w:color="auto" w:fill="FFFFFF" w:themeFill="background1"/>
          </w:tcPr>
          <w:p w:rsidR="008216CB" w:rsidRPr="001D13CA" w:rsidRDefault="008216CB" w:rsidP="00C37F97">
            <w:pPr>
              <w:rPr>
                <w:rFonts w:ascii="Times New Roman" w:hAnsi="Times New Roman"/>
                <w:sz w:val="20"/>
                <w:szCs w:val="20"/>
              </w:rPr>
            </w:pPr>
            <w:r>
              <w:rPr>
                <w:rFonts w:ascii="Times New Roman" w:hAnsi="Times New Roman"/>
                <w:sz w:val="20"/>
                <w:szCs w:val="20"/>
              </w:rPr>
              <w:t>1.3.</w:t>
            </w:r>
          </w:p>
        </w:tc>
        <w:tc>
          <w:tcPr>
            <w:tcW w:w="4110" w:type="dxa"/>
            <w:tcBorders>
              <w:bottom w:val="single" w:sz="4" w:space="0" w:color="auto"/>
            </w:tcBorders>
            <w:shd w:val="clear" w:color="auto" w:fill="FFFFFF" w:themeFill="background1"/>
          </w:tcPr>
          <w:p w:rsidR="008216CB" w:rsidRPr="001D13CA" w:rsidRDefault="008216CB" w:rsidP="00C37F97">
            <w:pPr>
              <w:rPr>
                <w:rFonts w:ascii="Times New Roman" w:hAnsi="Times New Roman"/>
                <w:sz w:val="20"/>
                <w:szCs w:val="20"/>
              </w:rPr>
            </w:pPr>
            <w:r w:rsidRPr="008216CB">
              <w:rPr>
                <w:rFonts w:ascii="Times New Roman" w:hAnsi="Times New Roman"/>
                <w:sz w:val="20"/>
                <w:szCs w:val="20"/>
              </w:rPr>
              <w:t>Сроки (периоды) выполнения работ/оказания услуг: 01.04.2016</w:t>
            </w:r>
            <w:r>
              <w:rPr>
                <w:rFonts w:ascii="Times New Roman" w:hAnsi="Times New Roman"/>
                <w:sz w:val="20"/>
                <w:szCs w:val="20"/>
              </w:rPr>
              <w:t>г.</w:t>
            </w:r>
            <w:r w:rsidRPr="008216CB">
              <w:rPr>
                <w:rFonts w:ascii="Times New Roman" w:hAnsi="Times New Roman"/>
                <w:sz w:val="20"/>
                <w:szCs w:val="20"/>
              </w:rPr>
              <w:t xml:space="preserve"> – 31.12.2016</w:t>
            </w:r>
            <w:r>
              <w:rPr>
                <w:rFonts w:ascii="Times New Roman" w:hAnsi="Times New Roman"/>
                <w:sz w:val="20"/>
                <w:szCs w:val="20"/>
              </w:rPr>
              <w:t>г.</w:t>
            </w:r>
          </w:p>
        </w:tc>
        <w:tc>
          <w:tcPr>
            <w:tcW w:w="2853" w:type="dxa"/>
            <w:vMerge/>
            <w:tcBorders>
              <w:bottom w:val="single" w:sz="4" w:space="0" w:color="auto"/>
            </w:tcBorders>
            <w:shd w:val="clear" w:color="auto" w:fill="FFFFFF" w:themeFill="background1"/>
          </w:tcPr>
          <w:p w:rsidR="008216CB" w:rsidRPr="00C37F97" w:rsidRDefault="008216CB" w:rsidP="00C37F97">
            <w:pPr>
              <w:rPr>
                <w:rFonts w:ascii="Times New Roman" w:hAnsi="Times New Roman"/>
                <w:sz w:val="20"/>
                <w:szCs w:val="20"/>
              </w:rPr>
            </w:pPr>
          </w:p>
        </w:tc>
        <w:tc>
          <w:tcPr>
            <w:tcW w:w="1092" w:type="dxa"/>
            <w:tcBorders>
              <w:bottom w:val="single" w:sz="4" w:space="0" w:color="auto"/>
            </w:tcBorders>
            <w:shd w:val="clear" w:color="auto" w:fill="FFFFFF" w:themeFill="background1"/>
          </w:tcPr>
          <w:p w:rsidR="008216CB" w:rsidRPr="00C37F97" w:rsidRDefault="008216CB" w:rsidP="00C37F97">
            <w:pPr>
              <w:rPr>
                <w:rFonts w:ascii="Times New Roman" w:hAnsi="Times New Roman"/>
                <w:sz w:val="20"/>
                <w:szCs w:val="20"/>
              </w:rPr>
            </w:pPr>
          </w:p>
        </w:tc>
        <w:tc>
          <w:tcPr>
            <w:tcW w:w="1887" w:type="dxa"/>
            <w:tcBorders>
              <w:bottom w:val="single" w:sz="4" w:space="0" w:color="auto"/>
            </w:tcBorders>
            <w:shd w:val="clear" w:color="auto" w:fill="FFFFFF" w:themeFill="background1"/>
            <w:vAlign w:val="center"/>
          </w:tcPr>
          <w:p w:rsidR="008216CB" w:rsidRPr="00C37F97" w:rsidRDefault="008216CB" w:rsidP="00C37F97">
            <w:pPr>
              <w:jc w:val="center"/>
              <w:rPr>
                <w:rFonts w:ascii="Times New Roman" w:hAnsi="Times New Roman"/>
                <w:sz w:val="20"/>
                <w:szCs w:val="20"/>
              </w:rPr>
            </w:pPr>
          </w:p>
        </w:tc>
      </w:tr>
      <w:tr w:rsidR="00C37F97" w:rsidRPr="001D13CA" w:rsidTr="007810E8">
        <w:trPr>
          <w:trHeight w:val="300"/>
        </w:trPr>
        <w:tc>
          <w:tcPr>
            <w:tcW w:w="10794" w:type="dxa"/>
            <w:gridSpan w:val="5"/>
            <w:shd w:val="clear" w:color="auto" w:fill="FFFFFF" w:themeFill="background1"/>
          </w:tcPr>
          <w:p w:rsidR="00C37F97" w:rsidRPr="001D13CA" w:rsidRDefault="008216CB" w:rsidP="008216CB">
            <w:pPr>
              <w:pStyle w:val="ab"/>
              <w:numPr>
                <w:ilvl w:val="0"/>
                <w:numId w:val="32"/>
              </w:numPr>
              <w:jc w:val="center"/>
              <w:rPr>
                <w:rFonts w:ascii="Times New Roman" w:hAnsi="Times New Roman"/>
                <w:i/>
                <w:sz w:val="20"/>
                <w:szCs w:val="20"/>
              </w:rPr>
            </w:pPr>
            <w:r>
              <w:rPr>
                <w:rFonts w:ascii="Times New Roman" w:hAnsi="Times New Roman"/>
                <w:i/>
                <w:sz w:val="20"/>
                <w:szCs w:val="20"/>
              </w:rPr>
              <w:t>Т</w:t>
            </w:r>
            <w:r w:rsidRPr="008216CB">
              <w:rPr>
                <w:rFonts w:ascii="Times New Roman" w:hAnsi="Times New Roman"/>
                <w:i/>
                <w:sz w:val="20"/>
                <w:szCs w:val="20"/>
              </w:rPr>
              <w:t>ребования к выполнению работ/оказания услуг</w:t>
            </w:r>
          </w:p>
        </w:tc>
      </w:tr>
      <w:tr w:rsidR="001D13CA" w:rsidRPr="001D13CA" w:rsidTr="007810E8">
        <w:trPr>
          <w:trHeight w:val="659"/>
        </w:trPr>
        <w:tc>
          <w:tcPr>
            <w:tcW w:w="852" w:type="dxa"/>
            <w:tcBorders>
              <w:bottom w:val="single" w:sz="4" w:space="0" w:color="auto"/>
            </w:tcBorders>
            <w:shd w:val="clear" w:color="auto" w:fill="FFFFFF" w:themeFill="background1"/>
            <w:hideMark/>
          </w:tcPr>
          <w:p w:rsidR="001D13CA" w:rsidRPr="00C37F97" w:rsidRDefault="001D13CA" w:rsidP="00C37F97">
            <w:pPr>
              <w:rPr>
                <w:rFonts w:ascii="Times New Roman" w:hAnsi="Times New Roman"/>
                <w:sz w:val="20"/>
                <w:szCs w:val="20"/>
              </w:rPr>
            </w:pPr>
            <w:r w:rsidRPr="001D13CA">
              <w:rPr>
                <w:rFonts w:ascii="Times New Roman" w:hAnsi="Times New Roman"/>
                <w:sz w:val="20"/>
                <w:szCs w:val="20"/>
              </w:rPr>
              <w:t>2.1.</w:t>
            </w:r>
          </w:p>
        </w:tc>
        <w:tc>
          <w:tcPr>
            <w:tcW w:w="4110" w:type="dxa"/>
            <w:tcBorders>
              <w:bottom w:val="single" w:sz="4" w:space="0" w:color="auto"/>
            </w:tcBorders>
            <w:shd w:val="clear" w:color="auto" w:fill="FFFFFF" w:themeFill="background1"/>
          </w:tcPr>
          <w:p w:rsidR="001D13CA" w:rsidRPr="00C37F97" w:rsidRDefault="008216CB" w:rsidP="008216CB">
            <w:pPr>
              <w:rPr>
                <w:rFonts w:ascii="Times New Roman" w:hAnsi="Times New Roman"/>
                <w:sz w:val="20"/>
                <w:szCs w:val="20"/>
              </w:rPr>
            </w:pPr>
            <w:r w:rsidRPr="008216CB">
              <w:rPr>
                <w:rFonts w:ascii="Times New Roman" w:hAnsi="Times New Roman"/>
                <w:b/>
                <w:sz w:val="20"/>
                <w:szCs w:val="20"/>
              </w:rPr>
              <w:t>Порядок (последовательность, этапы) выполнения работ/оказания услуг:</w:t>
            </w:r>
            <w:r w:rsidRPr="008216CB">
              <w:rPr>
                <w:rFonts w:ascii="Times New Roman" w:hAnsi="Times New Roman"/>
                <w:sz w:val="20"/>
                <w:szCs w:val="20"/>
              </w:rPr>
              <w:t xml:space="preserve"> Оказание услуг по технической поддержке ПО "OIS-</w:t>
            </w:r>
            <w:proofErr w:type="spellStart"/>
            <w:r w:rsidRPr="008216CB">
              <w:rPr>
                <w:rFonts w:ascii="Times New Roman" w:hAnsi="Times New Roman"/>
                <w:sz w:val="20"/>
                <w:szCs w:val="20"/>
              </w:rPr>
              <w:t>Production</w:t>
            </w:r>
            <w:proofErr w:type="spellEnd"/>
            <w:r w:rsidRPr="008216CB">
              <w:rPr>
                <w:rFonts w:ascii="Times New Roman" w:hAnsi="Times New Roman"/>
                <w:sz w:val="20"/>
                <w:szCs w:val="20"/>
              </w:rPr>
              <w:t>" осуществляется ежемесячно</w:t>
            </w:r>
          </w:p>
        </w:tc>
        <w:tc>
          <w:tcPr>
            <w:tcW w:w="2853" w:type="dxa"/>
            <w:vMerge w:val="restart"/>
            <w:shd w:val="clear" w:color="auto" w:fill="FFFFFF" w:themeFill="background1"/>
          </w:tcPr>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C37F97" w:rsidRDefault="001D13CA" w:rsidP="003408B5">
            <w:pPr>
              <w:jc w:val="center"/>
              <w:rPr>
                <w:rFonts w:ascii="Times New Roman" w:hAnsi="Times New Roman"/>
                <w:sz w:val="20"/>
                <w:szCs w:val="20"/>
              </w:rPr>
            </w:pPr>
            <w:r w:rsidRPr="001D13CA">
              <w:rPr>
                <w:rFonts w:ascii="Times New Roman" w:hAnsi="Times New Roman"/>
                <w:sz w:val="20"/>
                <w:szCs w:val="20"/>
              </w:rPr>
              <w:t>Справка за подписью Руководителя</w:t>
            </w:r>
          </w:p>
        </w:tc>
        <w:tc>
          <w:tcPr>
            <w:tcW w:w="1092" w:type="dxa"/>
            <w:vMerge w:val="restart"/>
            <w:shd w:val="clear" w:color="auto" w:fill="FFFFFF" w:themeFill="background1"/>
          </w:tcPr>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C37F97" w:rsidRDefault="001D13CA"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tcPr>
          <w:p w:rsidR="001D13CA" w:rsidRPr="001D13CA" w:rsidRDefault="001D13CA" w:rsidP="001D13CA">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D13CA" w:rsidRPr="00C37F97" w:rsidRDefault="001D13CA" w:rsidP="00C37F97">
            <w:pPr>
              <w:jc w:val="center"/>
              <w:rPr>
                <w:rFonts w:ascii="Times New Roman" w:hAnsi="Times New Roman"/>
                <w:sz w:val="20"/>
                <w:szCs w:val="20"/>
              </w:rPr>
            </w:pPr>
          </w:p>
        </w:tc>
      </w:tr>
      <w:tr w:rsidR="001D13CA" w:rsidRPr="001D13CA" w:rsidTr="007810E8">
        <w:trPr>
          <w:trHeight w:val="300"/>
        </w:trPr>
        <w:tc>
          <w:tcPr>
            <w:tcW w:w="852" w:type="dxa"/>
            <w:shd w:val="clear" w:color="auto" w:fill="FFFFFF" w:themeFill="background1"/>
          </w:tcPr>
          <w:p w:rsidR="001D13CA" w:rsidRPr="001D13CA" w:rsidRDefault="008216CB" w:rsidP="00C37F97">
            <w:pPr>
              <w:rPr>
                <w:rFonts w:ascii="Times New Roman" w:hAnsi="Times New Roman"/>
                <w:sz w:val="20"/>
                <w:szCs w:val="20"/>
              </w:rPr>
            </w:pPr>
            <w:r>
              <w:rPr>
                <w:rFonts w:ascii="Times New Roman" w:hAnsi="Times New Roman"/>
                <w:sz w:val="20"/>
                <w:szCs w:val="20"/>
              </w:rPr>
              <w:t>2.2.</w:t>
            </w:r>
          </w:p>
        </w:tc>
        <w:tc>
          <w:tcPr>
            <w:tcW w:w="4110" w:type="dxa"/>
            <w:shd w:val="clear" w:color="auto" w:fill="FFFFFF" w:themeFill="background1"/>
            <w:vAlign w:val="center"/>
          </w:tcPr>
          <w:p w:rsidR="001D13CA" w:rsidRPr="001D13CA" w:rsidRDefault="008216CB" w:rsidP="008216CB">
            <w:pPr>
              <w:rPr>
                <w:rFonts w:ascii="Times New Roman" w:hAnsi="Times New Roman"/>
                <w:i/>
                <w:iCs/>
                <w:sz w:val="20"/>
                <w:szCs w:val="20"/>
              </w:rPr>
            </w:pPr>
            <w:r w:rsidRPr="008216CB">
              <w:rPr>
                <w:rFonts w:ascii="Times New Roman" w:hAnsi="Times New Roman"/>
                <w:b/>
                <w:iCs/>
                <w:sz w:val="20"/>
                <w:szCs w:val="20"/>
              </w:rPr>
              <w:t xml:space="preserve">Необходимость в привлечении техники Заказчика для выполнения работ/оказания услуг: </w:t>
            </w:r>
            <w:r w:rsidRPr="008216CB">
              <w:rPr>
                <w:rFonts w:ascii="Times New Roman" w:hAnsi="Times New Roman"/>
                <w:iCs/>
                <w:sz w:val="20"/>
                <w:szCs w:val="20"/>
              </w:rPr>
              <w:t>Привлечение техники Заказчика для оказания услуг – не требуется</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7810E8">
        <w:trPr>
          <w:trHeight w:val="300"/>
        </w:trPr>
        <w:tc>
          <w:tcPr>
            <w:tcW w:w="852" w:type="dxa"/>
            <w:shd w:val="clear" w:color="auto" w:fill="FFFFFF" w:themeFill="background1"/>
          </w:tcPr>
          <w:p w:rsidR="001D13CA" w:rsidRPr="001D13CA" w:rsidRDefault="008216CB" w:rsidP="00C37F97">
            <w:pPr>
              <w:rPr>
                <w:rFonts w:ascii="Times New Roman" w:hAnsi="Times New Roman"/>
                <w:sz w:val="20"/>
                <w:szCs w:val="20"/>
              </w:rPr>
            </w:pPr>
            <w:r>
              <w:rPr>
                <w:rFonts w:ascii="Times New Roman" w:hAnsi="Times New Roman"/>
                <w:sz w:val="20"/>
                <w:szCs w:val="20"/>
              </w:rPr>
              <w:t>2.3.</w:t>
            </w:r>
          </w:p>
        </w:tc>
        <w:tc>
          <w:tcPr>
            <w:tcW w:w="4110" w:type="dxa"/>
            <w:shd w:val="clear" w:color="auto" w:fill="FFFFFF" w:themeFill="background1"/>
            <w:vAlign w:val="center"/>
          </w:tcPr>
          <w:p w:rsidR="001D13CA" w:rsidRPr="008216CB" w:rsidRDefault="008216CB">
            <w:pPr>
              <w:rPr>
                <w:rFonts w:ascii="Times New Roman" w:hAnsi="Times New Roman"/>
                <w:iCs/>
                <w:sz w:val="20"/>
                <w:szCs w:val="20"/>
              </w:rPr>
            </w:pPr>
            <w:r w:rsidRPr="008216CB">
              <w:rPr>
                <w:rFonts w:ascii="Times New Roman" w:hAnsi="Times New Roman"/>
                <w:b/>
                <w:iCs/>
                <w:sz w:val="20"/>
                <w:szCs w:val="20"/>
              </w:rPr>
              <w:t xml:space="preserve">Условия привлечения субподрядчиков, </w:t>
            </w:r>
            <w:proofErr w:type="spellStart"/>
            <w:r w:rsidRPr="008216CB">
              <w:rPr>
                <w:rFonts w:ascii="Times New Roman" w:hAnsi="Times New Roman"/>
                <w:b/>
                <w:iCs/>
                <w:sz w:val="20"/>
                <w:szCs w:val="20"/>
              </w:rPr>
              <w:t>субисполнителей</w:t>
            </w:r>
            <w:proofErr w:type="spellEnd"/>
            <w:r w:rsidRPr="008216CB">
              <w:rPr>
                <w:rFonts w:ascii="Times New Roman" w:hAnsi="Times New Roman"/>
                <w:b/>
                <w:iCs/>
                <w:sz w:val="20"/>
                <w:szCs w:val="20"/>
              </w:rPr>
              <w:t>:</w:t>
            </w:r>
            <w:r w:rsidRPr="008216CB">
              <w:rPr>
                <w:rFonts w:ascii="Times New Roman" w:hAnsi="Times New Roman"/>
                <w:iCs/>
                <w:sz w:val="20"/>
                <w:szCs w:val="20"/>
              </w:rPr>
              <w:t xml:space="preserve">  Субподрядные организации привлекаются по </w:t>
            </w:r>
            <w:r>
              <w:rPr>
                <w:rFonts w:ascii="Times New Roman" w:hAnsi="Times New Roman"/>
                <w:iCs/>
                <w:sz w:val="20"/>
                <w:szCs w:val="20"/>
              </w:rPr>
              <w:t xml:space="preserve">письменному </w:t>
            </w:r>
            <w:r w:rsidRPr="008216CB">
              <w:rPr>
                <w:rFonts w:ascii="Times New Roman" w:hAnsi="Times New Roman"/>
                <w:iCs/>
                <w:sz w:val="20"/>
                <w:szCs w:val="20"/>
              </w:rPr>
              <w:t>согласованию с Заказчиком</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7810E8">
        <w:trPr>
          <w:trHeight w:val="300"/>
        </w:trPr>
        <w:tc>
          <w:tcPr>
            <w:tcW w:w="852" w:type="dxa"/>
            <w:shd w:val="clear" w:color="auto" w:fill="FFFFFF" w:themeFill="background1"/>
          </w:tcPr>
          <w:p w:rsidR="001D13CA" w:rsidRPr="001D13CA" w:rsidRDefault="008216CB" w:rsidP="00C37F97">
            <w:pPr>
              <w:rPr>
                <w:rFonts w:ascii="Times New Roman" w:hAnsi="Times New Roman"/>
                <w:sz w:val="20"/>
                <w:szCs w:val="20"/>
              </w:rPr>
            </w:pPr>
            <w:r>
              <w:rPr>
                <w:rFonts w:ascii="Times New Roman" w:hAnsi="Times New Roman"/>
                <w:sz w:val="20"/>
                <w:szCs w:val="20"/>
              </w:rPr>
              <w:t>2.4.</w:t>
            </w:r>
          </w:p>
        </w:tc>
        <w:tc>
          <w:tcPr>
            <w:tcW w:w="4110" w:type="dxa"/>
            <w:shd w:val="clear" w:color="auto" w:fill="FFFFFF" w:themeFill="background1"/>
            <w:vAlign w:val="center"/>
          </w:tcPr>
          <w:p w:rsidR="001D13CA" w:rsidRPr="008216CB" w:rsidRDefault="008216CB">
            <w:pPr>
              <w:rPr>
                <w:rFonts w:ascii="Times New Roman" w:hAnsi="Times New Roman"/>
                <w:iCs/>
                <w:sz w:val="20"/>
                <w:szCs w:val="20"/>
              </w:rPr>
            </w:pPr>
            <w:r w:rsidRPr="008216CB">
              <w:rPr>
                <w:rFonts w:ascii="Times New Roman" w:hAnsi="Times New Roman"/>
                <w:iCs/>
                <w:sz w:val="20"/>
                <w:szCs w:val="20"/>
              </w:rPr>
              <w:t>Возможность консультирования по вопросам технической поддержки ПО OIS-</w:t>
            </w:r>
            <w:proofErr w:type="spellStart"/>
            <w:r w:rsidRPr="008216CB">
              <w:rPr>
                <w:rFonts w:ascii="Times New Roman" w:hAnsi="Times New Roman"/>
                <w:iCs/>
                <w:sz w:val="20"/>
                <w:szCs w:val="20"/>
              </w:rPr>
              <w:t>Production</w:t>
            </w:r>
            <w:proofErr w:type="spellEnd"/>
            <w:r w:rsidRPr="008216CB">
              <w:rPr>
                <w:rFonts w:ascii="Times New Roman" w:hAnsi="Times New Roman"/>
                <w:iCs/>
                <w:sz w:val="20"/>
                <w:szCs w:val="20"/>
              </w:rPr>
              <w:t xml:space="preserve"> посредством телефонной связи и электронной почты</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7810E8" w:rsidRPr="001D13CA" w:rsidTr="00A4310D">
        <w:trPr>
          <w:trHeight w:val="350"/>
        </w:trPr>
        <w:tc>
          <w:tcPr>
            <w:tcW w:w="10794" w:type="dxa"/>
            <w:gridSpan w:val="5"/>
            <w:shd w:val="clear" w:color="auto" w:fill="FFFFFF" w:themeFill="background1"/>
          </w:tcPr>
          <w:p w:rsidR="007810E8" w:rsidRPr="001D13CA" w:rsidRDefault="007810E8" w:rsidP="008216CB">
            <w:pPr>
              <w:pStyle w:val="ab"/>
              <w:numPr>
                <w:ilvl w:val="0"/>
                <w:numId w:val="32"/>
              </w:numPr>
              <w:jc w:val="center"/>
              <w:rPr>
                <w:rFonts w:ascii="Times New Roman" w:hAnsi="Times New Roman"/>
                <w:i/>
                <w:sz w:val="20"/>
                <w:szCs w:val="20"/>
              </w:rPr>
            </w:pPr>
            <w:r w:rsidRPr="008216CB">
              <w:rPr>
                <w:rFonts w:ascii="Times New Roman" w:hAnsi="Times New Roman"/>
                <w:i/>
                <w:sz w:val="20"/>
                <w:szCs w:val="20"/>
              </w:rPr>
              <w:t xml:space="preserve">Требования к качеству работ (услуг), в том числе технология производства работ (оказания услуг), методы производства работ (оказания услуг), методики оказания услуг, организационно-технологическая схема </w:t>
            </w:r>
            <w:r w:rsidRPr="008216CB">
              <w:rPr>
                <w:rFonts w:ascii="Times New Roman" w:hAnsi="Times New Roman"/>
                <w:i/>
                <w:sz w:val="20"/>
                <w:szCs w:val="20"/>
              </w:rPr>
              <w:lastRenderedPageBreak/>
              <w:t>производства работ</w:t>
            </w:r>
          </w:p>
        </w:tc>
      </w:tr>
      <w:tr w:rsidR="007810E8" w:rsidRPr="001D13CA" w:rsidTr="007810E8">
        <w:trPr>
          <w:trHeight w:val="839"/>
        </w:trPr>
        <w:tc>
          <w:tcPr>
            <w:tcW w:w="852" w:type="dxa"/>
            <w:shd w:val="clear" w:color="auto" w:fill="FFFFFF" w:themeFill="background1"/>
          </w:tcPr>
          <w:p w:rsidR="007810E8" w:rsidRPr="001D13CA" w:rsidRDefault="007810E8" w:rsidP="00C37F97">
            <w:pPr>
              <w:rPr>
                <w:rFonts w:ascii="Times New Roman" w:hAnsi="Times New Roman"/>
                <w:sz w:val="20"/>
                <w:szCs w:val="20"/>
              </w:rPr>
            </w:pPr>
            <w:r>
              <w:rPr>
                <w:rFonts w:ascii="Times New Roman" w:hAnsi="Times New Roman"/>
                <w:sz w:val="20"/>
                <w:szCs w:val="20"/>
              </w:rPr>
              <w:lastRenderedPageBreak/>
              <w:t>3.1.</w:t>
            </w:r>
          </w:p>
        </w:tc>
        <w:tc>
          <w:tcPr>
            <w:tcW w:w="4110" w:type="dxa"/>
            <w:shd w:val="clear" w:color="auto" w:fill="FFFFFF" w:themeFill="background1"/>
            <w:vAlign w:val="center"/>
          </w:tcPr>
          <w:p w:rsidR="007810E8" w:rsidRPr="001D13CA" w:rsidRDefault="007810E8">
            <w:pPr>
              <w:rPr>
                <w:rFonts w:ascii="Times New Roman" w:hAnsi="Times New Roman"/>
                <w:sz w:val="20"/>
                <w:szCs w:val="20"/>
              </w:rPr>
            </w:pPr>
            <w:r w:rsidRPr="008216CB">
              <w:rPr>
                <w:rFonts w:ascii="Times New Roman" w:hAnsi="Times New Roman"/>
                <w:sz w:val="20"/>
                <w:szCs w:val="20"/>
              </w:rPr>
              <w:t>Техническая поддержка ПО OIS-</w:t>
            </w:r>
            <w:proofErr w:type="spellStart"/>
            <w:r w:rsidRPr="008216CB">
              <w:rPr>
                <w:rFonts w:ascii="Times New Roman" w:hAnsi="Times New Roman"/>
                <w:sz w:val="20"/>
                <w:szCs w:val="20"/>
              </w:rPr>
              <w:t>Production</w:t>
            </w:r>
            <w:proofErr w:type="spellEnd"/>
            <w:r w:rsidRPr="008216CB">
              <w:rPr>
                <w:rFonts w:ascii="Times New Roman" w:hAnsi="Times New Roman"/>
                <w:sz w:val="20"/>
                <w:szCs w:val="20"/>
              </w:rPr>
              <w:t xml:space="preserve"> включает в себя:</w:t>
            </w:r>
          </w:p>
        </w:tc>
        <w:tc>
          <w:tcPr>
            <w:tcW w:w="2853" w:type="dxa"/>
            <w:vMerge w:val="restart"/>
            <w:shd w:val="clear" w:color="auto" w:fill="FFFFFF" w:themeFill="background1"/>
          </w:tcPr>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Pr="001D13CA" w:rsidRDefault="007810E8" w:rsidP="00C37F97">
            <w:pPr>
              <w:rPr>
                <w:rFonts w:ascii="Times New Roman" w:hAnsi="Times New Roman"/>
                <w:sz w:val="20"/>
                <w:szCs w:val="20"/>
              </w:rPr>
            </w:pPr>
            <w:r w:rsidRPr="007810E8">
              <w:rPr>
                <w:rFonts w:ascii="Times New Roman" w:hAnsi="Times New Roman"/>
                <w:sz w:val="20"/>
                <w:szCs w:val="20"/>
              </w:rPr>
              <w:t>Справка за подписью Руководителя</w:t>
            </w:r>
          </w:p>
        </w:tc>
        <w:tc>
          <w:tcPr>
            <w:tcW w:w="1092" w:type="dxa"/>
            <w:vMerge w:val="restart"/>
            <w:shd w:val="clear" w:color="auto" w:fill="FFFFFF" w:themeFill="background1"/>
          </w:tcPr>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Pr="001D13CA" w:rsidRDefault="007810E8"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tcPr>
          <w:p w:rsidR="007810E8" w:rsidRPr="001D13CA" w:rsidRDefault="007810E8" w:rsidP="001D13CA">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7810E8" w:rsidRPr="001D13CA" w:rsidRDefault="007810E8" w:rsidP="00C37F97">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Pr="001D13CA" w:rsidRDefault="007810E8" w:rsidP="00C37F97">
            <w:pPr>
              <w:rPr>
                <w:rFonts w:ascii="Times New Roman" w:hAnsi="Times New Roman"/>
                <w:sz w:val="20"/>
                <w:szCs w:val="20"/>
              </w:rPr>
            </w:pPr>
            <w:r>
              <w:rPr>
                <w:rFonts w:ascii="Times New Roman" w:hAnsi="Times New Roman"/>
                <w:sz w:val="20"/>
                <w:szCs w:val="20"/>
              </w:rPr>
              <w:t>3.1.1.</w:t>
            </w:r>
          </w:p>
        </w:tc>
        <w:tc>
          <w:tcPr>
            <w:tcW w:w="4110" w:type="dxa"/>
            <w:shd w:val="clear" w:color="auto" w:fill="FFFFFF" w:themeFill="background1"/>
            <w:vAlign w:val="center"/>
          </w:tcPr>
          <w:p w:rsidR="007810E8" w:rsidRPr="001D13CA" w:rsidRDefault="007810E8" w:rsidP="008216CB">
            <w:pPr>
              <w:jc w:val="both"/>
              <w:rPr>
                <w:rFonts w:ascii="Times New Roman" w:hAnsi="Times New Roman"/>
                <w:sz w:val="20"/>
                <w:szCs w:val="20"/>
              </w:rPr>
            </w:pPr>
            <w:r w:rsidRPr="008216CB">
              <w:rPr>
                <w:rFonts w:ascii="Times New Roman" w:hAnsi="Times New Roman"/>
                <w:sz w:val="20"/>
                <w:szCs w:val="20"/>
              </w:rPr>
              <w:t>Доступ к электронной системе технической поддержки: доступ к электронной информационной системе технической поддержки: принятие заявок, уведомление об этапах выполнения задания с указанием ответственных лиц, учет заявок</w:t>
            </w:r>
            <w:r>
              <w:rPr>
                <w:rFonts w:ascii="Times New Roman" w:hAnsi="Times New Roman"/>
                <w:sz w:val="20"/>
                <w:szCs w:val="20"/>
              </w:rPr>
              <w:t xml:space="preserve"> в базе данных и выдача отчетов</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1D13CA"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C37F97">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3.1.2.</w:t>
            </w:r>
          </w:p>
        </w:tc>
        <w:tc>
          <w:tcPr>
            <w:tcW w:w="4110" w:type="dxa"/>
            <w:shd w:val="clear" w:color="auto" w:fill="FFFFFF" w:themeFill="background1"/>
            <w:vAlign w:val="center"/>
          </w:tcPr>
          <w:p w:rsidR="007810E8" w:rsidRPr="008216CB" w:rsidRDefault="007810E8" w:rsidP="008216CB">
            <w:pPr>
              <w:rPr>
                <w:rFonts w:ascii="Times New Roman" w:hAnsi="Times New Roman"/>
                <w:sz w:val="20"/>
                <w:szCs w:val="20"/>
              </w:rPr>
            </w:pPr>
            <w:r w:rsidRPr="008216CB">
              <w:rPr>
                <w:rFonts w:ascii="Times New Roman" w:hAnsi="Times New Roman"/>
                <w:sz w:val="20"/>
                <w:szCs w:val="20"/>
              </w:rPr>
              <w:t>Горячая линия – консультации по телефону и электронной почте специалистов Заказчика в рабочие, выходные и праздничные дни:</w:t>
            </w:r>
          </w:p>
          <w:p w:rsidR="007810E8" w:rsidRPr="008216CB" w:rsidRDefault="007810E8" w:rsidP="008216CB">
            <w:pPr>
              <w:rPr>
                <w:rFonts w:ascii="Times New Roman" w:hAnsi="Times New Roman"/>
                <w:sz w:val="20"/>
                <w:szCs w:val="20"/>
              </w:rPr>
            </w:pPr>
            <w:r w:rsidRPr="008216CB">
              <w:rPr>
                <w:rFonts w:ascii="Times New Roman" w:hAnsi="Times New Roman"/>
                <w:sz w:val="20"/>
                <w:szCs w:val="20"/>
              </w:rPr>
              <w:t>- консультации по контролю выполнения регламентных операций по ведению данных.</w:t>
            </w:r>
          </w:p>
          <w:p w:rsidR="007810E8" w:rsidRPr="001D13CA" w:rsidRDefault="007810E8" w:rsidP="008216CB">
            <w:pPr>
              <w:rPr>
                <w:rFonts w:ascii="Times New Roman" w:hAnsi="Times New Roman"/>
                <w:sz w:val="20"/>
                <w:szCs w:val="20"/>
              </w:rPr>
            </w:pPr>
            <w:r w:rsidRPr="008216CB">
              <w:rPr>
                <w:rFonts w:ascii="Times New Roman" w:hAnsi="Times New Roman"/>
                <w:sz w:val="20"/>
                <w:szCs w:val="20"/>
              </w:rPr>
              <w:t>- оказание консультаций специалистам ВЦ «СН-МНГ» по закрытию месяца в базе данных OIS.</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3.1.3.</w:t>
            </w:r>
          </w:p>
        </w:tc>
        <w:tc>
          <w:tcPr>
            <w:tcW w:w="4110" w:type="dxa"/>
            <w:shd w:val="clear" w:color="auto" w:fill="FFFFFF" w:themeFill="background1"/>
            <w:vAlign w:val="center"/>
          </w:tcPr>
          <w:p w:rsidR="007810E8" w:rsidRPr="008216CB" w:rsidRDefault="007810E8" w:rsidP="008216CB">
            <w:pPr>
              <w:rPr>
                <w:rFonts w:ascii="Times New Roman" w:hAnsi="Times New Roman"/>
                <w:sz w:val="20"/>
                <w:szCs w:val="20"/>
              </w:rPr>
            </w:pPr>
            <w:r w:rsidRPr="008216CB">
              <w:rPr>
                <w:rFonts w:ascii="Times New Roman" w:hAnsi="Times New Roman"/>
                <w:sz w:val="20"/>
                <w:szCs w:val="20"/>
              </w:rPr>
              <w:t xml:space="preserve">Анализ проблем, возникающих при эксплуатации системы. Отработка на контрольной базе данных ситуаций, возникших при эксплуатации системы у Заказчика. Выработка рекомендаций по устранению возникших проблем с учетом </w:t>
            </w:r>
            <w:proofErr w:type="gramStart"/>
            <w:r w:rsidRPr="008216CB">
              <w:rPr>
                <w:rFonts w:ascii="Times New Roman" w:hAnsi="Times New Roman"/>
                <w:sz w:val="20"/>
                <w:szCs w:val="20"/>
              </w:rPr>
              <w:t>существующей</w:t>
            </w:r>
            <w:proofErr w:type="gramEnd"/>
            <w:r w:rsidRPr="008216CB">
              <w:rPr>
                <w:rFonts w:ascii="Times New Roman" w:hAnsi="Times New Roman"/>
                <w:sz w:val="20"/>
                <w:szCs w:val="20"/>
              </w:rPr>
              <w:t xml:space="preserve"> ИТ-инфраструктуры Заказчика. Исправление  ошибок в программных кодах и операционной документации, поставляемых вместе </w:t>
            </w:r>
            <w:proofErr w:type="gramStart"/>
            <w:r w:rsidRPr="008216CB">
              <w:rPr>
                <w:rFonts w:ascii="Times New Roman" w:hAnsi="Times New Roman"/>
                <w:sz w:val="20"/>
                <w:szCs w:val="20"/>
              </w:rPr>
              <w:t>с</w:t>
            </w:r>
            <w:proofErr w:type="gramEnd"/>
            <w:r w:rsidRPr="008216CB">
              <w:rPr>
                <w:rFonts w:ascii="Times New Roman" w:hAnsi="Times New Roman"/>
                <w:sz w:val="20"/>
                <w:szCs w:val="20"/>
              </w:rPr>
              <w:t xml:space="preserve"> ПО.</w:t>
            </w:r>
          </w:p>
          <w:p w:rsidR="007810E8" w:rsidRPr="001D13CA" w:rsidRDefault="007810E8" w:rsidP="008216CB">
            <w:pPr>
              <w:rPr>
                <w:rFonts w:ascii="Times New Roman" w:hAnsi="Times New Roman"/>
                <w:sz w:val="20"/>
                <w:szCs w:val="20"/>
              </w:rPr>
            </w:pPr>
            <w:r w:rsidRPr="008216CB">
              <w:rPr>
                <w:rFonts w:ascii="Times New Roman" w:hAnsi="Times New Roman"/>
                <w:sz w:val="20"/>
                <w:szCs w:val="20"/>
              </w:rPr>
              <w:t>Предоставление технической информации и/или дополнительных программных компонент (</w:t>
            </w:r>
            <w:proofErr w:type="spellStart"/>
            <w:r w:rsidRPr="008216CB">
              <w:rPr>
                <w:rFonts w:ascii="Times New Roman" w:hAnsi="Times New Roman"/>
                <w:sz w:val="20"/>
                <w:szCs w:val="20"/>
              </w:rPr>
              <w:t>patch</w:t>
            </w:r>
            <w:proofErr w:type="spellEnd"/>
            <w:r w:rsidRPr="008216CB">
              <w:rPr>
                <w:rFonts w:ascii="Times New Roman" w:hAnsi="Times New Roman"/>
                <w:sz w:val="20"/>
                <w:szCs w:val="20"/>
              </w:rPr>
              <w:t>-ей) для устранения ошибок, обнаруженных в программном обеспечении; подготовка и передача Заказчику обновлений программных продуктов OIS для преодоления инцидентов и ошибок.</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3.1.4.</w:t>
            </w:r>
          </w:p>
        </w:tc>
        <w:tc>
          <w:tcPr>
            <w:tcW w:w="4110" w:type="dxa"/>
            <w:shd w:val="clear" w:color="auto" w:fill="FFFFFF" w:themeFill="background1"/>
            <w:vAlign w:val="center"/>
          </w:tcPr>
          <w:p w:rsidR="007810E8" w:rsidRPr="001D13CA" w:rsidRDefault="007810E8">
            <w:pPr>
              <w:rPr>
                <w:rFonts w:ascii="Times New Roman" w:hAnsi="Times New Roman"/>
                <w:sz w:val="20"/>
                <w:szCs w:val="20"/>
              </w:rPr>
            </w:pPr>
            <w:r w:rsidRPr="008216CB">
              <w:rPr>
                <w:rFonts w:ascii="Times New Roman" w:hAnsi="Times New Roman"/>
                <w:sz w:val="20"/>
                <w:szCs w:val="20"/>
              </w:rPr>
              <w:t>Оказание консультаций специалистам ВЦ СН-МНГ по методам выявления некорректной информации в базах данных Заказчика и путям решениям устранения этих проблем.</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3.1.5.</w:t>
            </w:r>
          </w:p>
        </w:tc>
        <w:tc>
          <w:tcPr>
            <w:tcW w:w="4110" w:type="dxa"/>
            <w:shd w:val="clear" w:color="auto" w:fill="FFFFFF" w:themeFill="background1"/>
            <w:vAlign w:val="center"/>
          </w:tcPr>
          <w:p w:rsidR="007810E8" w:rsidRPr="001D13CA" w:rsidRDefault="007810E8">
            <w:pPr>
              <w:rPr>
                <w:rFonts w:ascii="Times New Roman" w:hAnsi="Times New Roman"/>
                <w:sz w:val="20"/>
                <w:szCs w:val="20"/>
              </w:rPr>
            </w:pPr>
            <w:r w:rsidRPr="008216CB">
              <w:rPr>
                <w:rFonts w:ascii="Times New Roman" w:hAnsi="Times New Roman"/>
                <w:sz w:val="20"/>
                <w:szCs w:val="20"/>
              </w:rPr>
              <w:t>Предоставление консультаций специалистам Заказчика и документации в объеме, необходимом для применения изменений в программном обеспечении.</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3.1.6.</w:t>
            </w:r>
          </w:p>
        </w:tc>
        <w:tc>
          <w:tcPr>
            <w:tcW w:w="4110" w:type="dxa"/>
            <w:shd w:val="clear" w:color="auto" w:fill="FFFFFF" w:themeFill="background1"/>
            <w:vAlign w:val="center"/>
          </w:tcPr>
          <w:p w:rsidR="007810E8" w:rsidRPr="001D13CA" w:rsidRDefault="007810E8">
            <w:pPr>
              <w:rPr>
                <w:rFonts w:ascii="Times New Roman" w:hAnsi="Times New Roman"/>
                <w:sz w:val="20"/>
                <w:szCs w:val="20"/>
              </w:rPr>
            </w:pPr>
            <w:r w:rsidRPr="008216CB">
              <w:rPr>
                <w:rFonts w:ascii="Times New Roman" w:hAnsi="Times New Roman"/>
                <w:sz w:val="20"/>
                <w:szCs w:val="20"/>
              </w:rPr>
              <w:t>Корректировка (модификация) регламентных отчетов.</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3.1.7.</w:t>
            </w:r>
          </w:p>
        </w:tc>
        <w:tc>
          <w:tcPr>
            <w:tcW w:w="4110" w:type="dxa"/>
            <w:shd w:val="clear" w:color="auto" w:fill="FFFFFF" w:themeFill="background1"/>
            <w:vAlign w:val="center"/>
          </w:tcPr>
          <w:p w:rsidR="007810E8" w:rsidRPr="001D13CA" w:rsidRDefault="007810E8">
            <w:pPr>
              <w:rPr>
                <w:rFonts w:ascii="Times New Roman" w:hAnsi="Times New Roman"/>
                <w:sz w:val="20"/>
                <w:szCs w:val="20"/>
              </w:rPr>
            </w:pPr>
            <w:r w:rsidRPr="008216CB">
              <w:rPr>
                <w:rFonts w:ascii="Times New Roman" w:hAnsi="Times New Roman"/>
                <w:sz w:val="20"/>
                <w:szCs w:val="20"/>
              </w:rPr>
              <w:t>Разработка новых регламентных отчетов.</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3.1.8.</w:t>
            </w:r>
          </w:p>
        </w:tc>
        <w:tc>
          <w:tcPr>
            <w:tcW w:w="4110" w:type="dxa"/>
            <w:shd w:val="clear" w:color="auto" w:fill="FFFFFF" w:themeFill="background1"/>
            <w:vAlign w:val="center"/>
          </w:tcPr>
          <w:p w:rsidR="007810E8" w:rsidRPr="001D13CA" w:rsidRDefault="007810E8">
            <w:pPr>
              <w:rPr>
                <w:rFonts w:ascii="Times New Roman" w:hAnsi="Times New Roman"/>
                <w:sz w:val="20"/>
                <w:szCs w:val="20"/>
              </w:rPr>
            </w:pPr>
            <w:r w:rsidRPr="008216CB">
              <w:rPr>
                <w:rFonts w:ascii="Times New Roman" w:hAnsi="Times New Roman"/>
                <w:sz w:val="20"/>
                <w:szCs w:val="20"/>
              </w:rPr>
              <w:t>Обучение новых специалистов Заказчика</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3.1.9.</w:t>
            </w:r>
          </w:p>
        </w:tc>
        <w:tc>
          <w:tcPr>
            <w:tcW w:w="4110" w:type="dxa"/>
            <w:shd w:val="clear" w:color="auto" w:fill="FFFFFF" w:themeFill="background1"/>
            <w:vAlign w:val="center"/>
          </w:tcPr>
          <w:p w:rsidR="007810E8" w:rsidRPr="008216CB" w:rsidRDefault="007810E8">
            <w:pPr>
              <w:rPr>
                <w:rFonts w:ascii="Times New Roman" w:hAnsi="Times New Roman"/>
                <w:sz w:val="20"/>
                <w:szCs w:val="20"/>
              </w:rPr>
            </w:pPr>
            <w:r w:rsidRPr="007810E8">
              <w:rPr>
                <w:rFonts w:ascii="Times New Roman" w:hAnsi="Times New Roman"/>
                <w:sz w:val="20"/>
                <w:szCs w:val="20"/>
              </w:rPr>
              <w:t>Реализация в системе OIS методик, описанных в «Правилах учета нефти» и утвержденных постановлением Правительства Российской Федерации на текущий период.</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lastRenderedPageBreak/>
              <w:t>3.1.10.</w:t>
            </w:r>
          </w:p>
        </w:tc>
        <w:tc>
          <w:tcPr>
            <w:tcW w:w="4110" w:type="dxa"/>
            <w:shd w:val="clear" w:color="auto" w:fill="FFFFFF" w:themeFill="background1"/>
            <w:vAlign w:val="center"/>
          </w:tcPr>
          <w:p w:rsidR="007810E8" w:rsidRPr="008216CB" w:rsidRDefault="007810E8">
            <w:pPr>
              <w:rPr>
                <w:rFonts w:ascii="Times New Roman" w:hAnsi="Times New Roman"/>
                <w:sz w:val="20"/>
                <w:szCs w:val="20"/>
              </w:rPr>
            </w:pPr>
            <w:r w:rsidRPr="007810E8">
              <w:rPr>
                <w:rFonts w:ascii="Times New Roman" w:hAnsi="Times New Roman"/>
                <w:sz w:val="20"/>
                <w:szCs w:val="20"/>
              </w:rPr>
              <w:t xml:space="preserve">Предоставление гарантий отслеживания законодательства РФ на предмет необходимости приведения в соответствие программного продукта к представленным требованиям в области учета нефти. Своевременное предоставление консультаций, документаций и обновлений в </w:t>
            </w:r>
            <w:proofErr w:type="spellStart"/>
            <w:r w:rsidRPr="007810E8">
              <w:rPr>
                <w:rFonts w:ascii="Times New Roman" w:hAnsi="Times New Roman"/>
                <w:sz w:val="20"/>
                <w:szCs w:val="20"/>
              </w:rPr>
              <w:t>т.ч</w:t>
            </w:r>
            <w:proofErr w:type="spellEnd"/>
            <w:r w:rsidRPr="007810E8">
              <w:rPr>
                <w:rFonts w:ascii="Times New Roman" w:hAnsi="Times New Roman"/>
                <w:sz w:val="20"/>
                <w:szCs w:val="20"/>
              </w:rPr>
              <w:t>. требующих изменения модели данных.</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822875">
        <w:trPr>
          <w:trHeight w:val="350"/>
        </w:trPr>
        <w:tc>
          <w:tcPr>
            <w:tcW w:w="10794" w:type="dxa"/>
            <w:gridSpan w:val="5"/>
            <w:shd w:val="clear" w:color="auto" w:fill="FFFFFF" w:themeFill="background1"/>
          </w:tcPr>
          <w:p w:rsidR="007810E8" w:rsidRPr="007810E8" w:rsidRDefault="007810E8" w:rsidP="007810E8">
            <w:pPr>
              <w:pStyle w:val="ab"/>
              <w:numPr>
                <w:ilvl w:val="0"/>
                <w:numId w:val="32"/>
              </w:numPr>
              <w:jc w:val="center"/>
              <w:rPr>
                <w:rFonts w:ascii="Times New Roman" w:hAnsi="Times New Roman"/>
                <w:i/>
                <w:sz w:val="20"/>
                <w:szCs w:val="20"/>
              </w:rPr>
            </w:pPr>
            <w:r w:rsidRPr="007810E8">
              <w:rPr>
                <w:rFonts w:ascii="Times New Roman" w:hAnsi="Times New Roman"/>
                <w:i/>
                <w:sz w:val="20"/>
                <w:szCs w:val="20"/>
              </w:rPr>
              <w:t>Требования к безопасности выполнения работ/оказания услуг</w:t>
            </w: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4.1.</w:t>
            </w:r>
          </w:p>
        </w:tc>
        <w:tc>
          <w:tcPr>
            <w:tcW w:w="4110" w:type="dxa"/>
            <w:shd w:val="clear" w:color="auto" w:fill="FFFFFF" w:themeFill="background1"/>
            <w:vAlign w:val="center"/>
          </w:tcPr>
          <w:p w:rsidR="007810E8" w:rsidRPr="008216CB" w:rsidRDefault="007810E8">
            <w:pPr>
              <w:rPr>
                <w:rFonts w:ascii="Times New Roman" w:hAnsi="Times New Roman"/>
                <w:sz w:val="20"/>
                <w:szCs w:val="20"/>
              </w:rPr>
            </w:pPr>
            <w:r w:rsidRPr="007810E8">
              <w:rPr>
                <w:rFonts w:ascii="Times New Roman" w:hAnsi="Times New Roman"/>
                <w:sz w:val="20"/>
                <w:szCs w:val="20"/>
              </w:rPr>
              <w:t>Соблюдение Исполнителем Стандартов ОАО «СН-МНГ», предъявляемым к подрядным организациям, оказывающих услуги ОАО «СН-МНГ»</w:t>
            </w:r>
          </w:p>
        </w:tc>
        <w:tc>
          <w:tcPr>
            <w:tcW w:w="2853" w:type="dxa"/>
            <w:vMerge w:val="restart"/>
            <w:shd w:val="clear" w:color="auto" w:fill="FFFFFF" w:themeFill="background1"/>
          </w:tcPr>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Pr="001D13CA" w:rsidRDefault="007810E8" w:rsidP="00C37F97">
            <w:pPr>
              <w:rPr>
                <w:rFonts w:ascii="Times New Roman" w:hAnsi="Times New Roman"/>
                <w:sz w:val="20"/>
                <w:szCs w:val="20"/>
              </w:rPr>
            </w:pPr>
            <w:r w:rsidRPr="007810E8">
              <w:rPr>
                <w:rFonts w:ascii="Times New Roman" w:hAnsi="Times New Roman"/>
                <w:sz w:val="20"/>
                <w:szCs w:val="20"/>
              </w:rPr>
              <w:t>Гарантийное письмо за подписью Руководителя</w:t>
            </w:r>
          </w:p>
        </w:tc>
        <w:tc>
          <w:tcPr>
            <w:tcW w:w="1092" w:type="dxa"/>
            <w:vMerge w:val="restart"/>
            <w:shd w:val="clear" w:color="auto" w:fill="FFFFFF" w:themeFill="background1"/>
          </w:tcPr>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Default="007810E8" w:rsidP="00C37F97">
            <w:pPr>
              <w:rPr>
                <w:rFonts w:ascii="Times New Roman" w:hAnsi="Times New Roman"/>
                <w:sz w:val="20"/>
                <w:szCs w:val="20"/>
              </w:rPr>
            </w:pPr>
          </w:p>
          <w:p w:rsidR="007810E8" w:rsidRPr="00C37F97" w:rsidRDefault="007810E8" w:rsidP="00C37F97">
            <w:pPr>
              <w:rPr>
                <w:rFonts w:ascii="Times New Roman" w:hAnsi="Times New Roman"/>
                <w:sz w:val="20"/>
                <w:szCs w:val="20"/>
              </w:rPr>
            </w:pPr>
            <w:r w:rsidRPr="007810E8">
              <w:rPr>
                <w:rFonts w:ascii="Times New Roman" w:hAnsi="Times New Roman"/>
                <w:sz w:val="20"/>
                <w:szCs w:val="20"/>
              </w:rPr>
              <w:t>Да/нет</w:t>
            </w:r>
          </w:p>
        </w:tc>
        <w:tc>
          <w:tcPr>
            <w:tcW w:w="1887" w:type="dxa"/>
            <w:vMerge w:val="restart"/>
            <w:shd w:val="clear" w:color="auto" w:fill="FFFFFF" w:themeFill="background1"/>
            <w:vAlign w:val="center"/>
          </w:tcPr>
          <w:p w:rsidR="007810E8" w:rsidRPr="001D13CA" w:rsidRDefault="007810E8" w:rsidP="001D13CA">
            <w:pPr>
              <w:jc w:val="center"/>
              <w:rPr>
                <w:rFonts w:ascii="Times New Roman" w:hAnsi="Times New Roman"/>
                <w:sz w:val="20"/>
                <w:szCs w:val="20"/>
              </w:rPr>
            </w:pPr>
            <w:r w:rsidRPr="007810E8">
              <w:rPr>
                <w:rFonts w:ascii="Times New Roman" w:hAnsi="Times New Roman"/>
                <w:sz w:val="20"/>
                <w:szCs w:val="20"/>
              </w:rPr>
              <w:t>Да</w:t>
            </w:r>
            <w:proofErr w:type="gramStart"/>
            <w:r w:rsidRPr="007810E8">
              <w:rPr>
                <w:rFonts w:ascii="Times New Roman" w:hAnsi="Times New Roman"/>
                <w:sz w:val="20"/>
                <w:szCs w:val="20"/>
              </w:rPr>
              <w:t>/С</w:t>
            </w:r>
            <w:proofErr w:type="gramEnd"/>
            <w:r w:rsidRPr="007810E8">
              <w:rPr>
                <w:rFonts w:ascii="Times New Roman" w:hAnsi="Times New Roman"/>
                <w:sz w:val="20"/>
                <w:szCs w:val="20"/>
              </w:rPr>
              <w:t>оответствует</w:t>
            </w: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4.2.</w:t>
            </w:r>
          </w:p>
        </w:tc>
        <w:tc>
          <w:tcPr>
            <w:tcW w:w="4110" w:type="dxa"/>
            <w:shd w:val="clear" w:color="auto" w:fill="FFFFFF" w:themeFill="background1"/>
            <w:vAlign w:val="center"/>
          </w:tcPr>
          <w:p w:rsidR="007810E8" w:rsidRPr="008216CB" w:rsidRDefault="007810E8">
            <w:pPr>
              <w:rPr>
                <w:rFonts w:ascii="Times New Roman" w:hAnsi="Times New Roman"/>
                <w:sz w:val="20"/>
                <w:szCs w:val="20"/>
              </w:rPr>
            </w:pPr>
            <w:r w:rsidRPr="007810E8">
              <w:rPr>
                <w:rFonts w:ascii="Times New Roman" w:hAnsi="Times New Roman"/>
                <w:sz w:val="20"/>
                <w:szCs w:val="20"/>
              </w:rPr>
              <w:t>Оказываемые услуги должны быть безопасны и не наносить вред имуществу и программным средствам Заказчика. Информационные обновления Системы не должны содержать вирусы, другие вредоносные программы</w:t>
            </w:r>
          </w:p>
        </w:tc>
        <w:tc>
          <w:tcPr>
            <w:tcW w:w="2853" w:type="dxa"/>
            <w:vMerge/>
            <w:shd w:val="clear" w:color="auto" w:fill="FFFFFF" w:themeFill="background1"/>
          </w:tcPr>
          <w:p w:rsidR="007810E8" w:rsidRPr="001D13CA" w:rsidRDefault="007810E8" w:rsidP="00C37F97">
            <w:pPr>
              <w:rPr>
                <w:rFonts w:ascii="Times New Roman" w:hAnsi="Times New Roman"/>
                <w:sz w:val="20"/>
                <w:szCs w:val="20"/>
              </w:rPr>
            </w:pPr>
          </w:p>
        </w:tc>
        <w:tc>
          <w:tcPr>
            <w:tcW w:w="1092" w:type="dxa"/>
            <w:vMerge/>
            <w:shd w:val="clear" w:color="auto" w:fill="FFFFFF" w:themeFill="background1"/>
          </w:tcPr>
          <w:p w:rsidR="007810E8" w:rsidRPr="00C37F97" w:rsidRDefault="007810E8" w:rsidP="00C37F97">
            <w:pPr>
              <w:rPr>
                <w:rFonts w:ascii="Times New Roman" w:hAnsi="Times New Roman"/>
                <w:sz w:val="20"/>
                <w:szCs w:val="20"/>
              </w:rPr>
            </w:pPr>
          </w:p>
        </w:tc>
        <w:tc>
          <w:tcPr>
            <w:tcW w:w="1887" w:type="dxa"/>
            <w:vMerge/>
            <w:shd w:val="clear" w:color="auto" w:fill="FFFFFF" w:themeFill="background1"/>
            <w:vAlign w:val="center"/>
          </w:tcPr>
          <w:p w:rsidR="007810E8" w:rsidRPr="001D13CA" w:rsidRDefault="007810E8" w:rsidP="001D13CA">
            <w:pPr>
              <w:jc w:val="center"/>
              <w:rPr>
                <w:rFonts w:ascii="Times New Roman" w:hAnsi="Times New Roman"/>
                <w:sz w:val="20"/>
                <w:szCs w:val="20"/>
              </w:rPr>
            </w:pPr>
          </w:p>
        </w:tc>
      </w:tr>
      <w:tr w:rsidR="007810E8" w:rsidRPr="001D13CA" w:rsidTr="00805AC4">
        <w:trPr>
          <w:trHeight w:val="350"/>
        </w:trPr>
        <w:tc>
          <w:tcPr>
            <w:tcW w:w="10794" w:type="dxa"/>
            <w:gridSpan w:val="5"/>
            <w:shd w:val="clear" w:color="auto" w:fill="FFFFFF" w:themeFill="background1"/>
          </w:tcPr>
          <w:p w:rsidR="007810E8" w:rsidRPr="007810E8" w:rsidRDefault="007810E8" w:rsidP="007810E8">
            <w:pPr>
              <w:pStyle w:val="ab"/>
              <w:numPr>
                <w:ilvl w:val="0"/>
                <w:numId w:val="32"/>
              </w:numPr>
              <w:jc w:val="center"/>
              <w:rPr>
                <w:rFonts w:ascii="Times New Roman" w:hAnsi="Times New Roman"/>
                <w:i/>
                <w:sz w:val="20"/>
                <w:szCs w:val="20"/>
              </w:rPr>
            </w:pPr>
            <w:r w:rsidRPr="007810E8">
              <w:rPr>
                <w:rFonts w:ascii="Times New Roman" w:hAnsi="Times New Roman"/>
                <w:i/>
                <w:sz w:val="20"/>
                <w:szCs w:val="20"/>
              </w:rPr>
              <w:t>Требования к полученным результатам работ/услуг</w:t>
            </w:r>
          </w:p>
        </w:tc>
      </w:tr>
      <w:tr w:rsidR="007810E8" w:rsidRPr="001D13CA" w:rsidTr="007810E8">
        <w:trPr>
          <w:trHeight w:val="350"/>
        </w:trPr>
        <w:tc>
          <w:tcPr>
            <w:tcW w:w="852" w:type="dxa"/>
            <w:shd w:val="clear" w:color="auto" w:fill="FFFFFF" w:themeFill="background1"/>
          </w:tcPr>
          <w:p w:rsidR="007810E8" w:rsidRDefault="007810E8" w:rsidP="00C37F97">
            <w:pPr>
              <w:rPr>
                <w:rFonts w:ascii="Times New Roman" w:hAnsi="Times New Roman"/>
                <w:sz w:val="20"/>
                <w:szCs w:val="20"/>
              </w:rPr>
            </w:pPr>
            <w:r>
              <w:rPr>
                <w:rFonts w:ascii="Times New Roman" w:hAnsi="Times New Roman"/>
                <w:sz w:val="20"/>
                <w:szCs w:val="20"/>
              </w:rPr>
              <w:t>5.1.</w:t>
            </w:r>
          </w:p>
        </w:tc>
        <w:tc>
          <w:tcPr>
            <w:tcW w:w="4110" w:type="dxa"/>
            <w:shd w:val="clear" w:color="auto" w:fill="FFFFFF" w:themeFill="background1"/>
            <w:vAlign w:val="center"/>
          </w:tcPr>
          <w:p w:rsidR="007810E8" w:rsidRPr="007810E8" w:rsidRDefault="007810E8">
            <w:pPr>
              <w:rPr>
                <w:rFonts w:ascii="Times New Roman" w:hAnsi="Times New Roman"/>
                <w:sz w:val="20"/>
                <w:szCs w:val="20"/>
              </w:rPr>
            </w:pPr>
            <w:r w:rsidRPr="007810E8">
              <w:rPr>
                <w:rFonts w:ascii="Times New Roman" w:hAnsi="Times New Roman"/>
                <w:sz w:val="20"/>
                <w:szCs w:val="20"/>
              </w:rPr>
              <w:t>Обеспечение бесперебойной работы системы по учету добычи нефти, закачке воды, формирование отчетности МЭ</w:t>
            </w:r>
            <w:proofErr w:type="gramStart"/>
            <w:r w:rsidRPr="007810E8">
              <w:rPr>
                <w:rFonts w:ascii="Times New Roman" w:hAnsi="Times New Roman"/>
                <w:sz w:val="20"/>
                <w:szCs w:val="20"/>
              </w:rPr>
              <w:t>Р(</w:t>
            </w:r>
            <w:proofErr w:type="gramEnd"/>
            <w:r w:rsidRPr="007810E8">
              <w:rPr>
                <w:rFonts w:ascii="Times New Roman" w:hAnsi="Times New Roman"/>
                <w:sz w:val="20"/>
                <w:szCs w:val="20"/>
              </w:rPr>
              <w:t xml:space="preserve"> ПО OIS-</w:t>
            </w:r>
            <w:proofErr w:type="spellStart"/>
            <w:r w:rsidRPr="007810E8">
              <w:rPr>
                <w:rFonts w:ascii="Times New Roman" w:hAnsi="Times New Roman"/>
                <w:sz w:val="20"/>
                <w:szCs w:val="20"/>
              </w:rPr>
              <w:t>Production</w:t>
            </w:r>
            <w:proofErr w:type="spellEnd"/>
            <w:r w:rsidRPr="007810E8">
              <w:rPr>
                <w:rFonts w:ascii="Times New Roman" w:hAnsi="Times New Roman"/>
                <w:sz w:val="20"/>
                <w:szCs w:val="20"/>
              </w:rPr>
              <w:t>) с целью выполнения требований законодательства РФ.</w:t>
            </w:r>
          </w:p>
        </w:tc>
        <w:tc>
          <w:tcPr>
            <w:tcW w:w="2853" w:type="dxa"/>
            <w:shd w:val="clear" w:color="auto" w:fill="FFFFFF" w:themeFill="background1"/>
          </w:tcPr>
          <w:p w:rsidR="007810E8" w:rsidRPr="001D13CA" w:rsidRDefault="007810E8" w:rsidP="00C37F97">
            <w:pPr>
              <w:rPr>
                <w:rFonts w:ascii="Times New Roman" w:hAnsi="Times New Roman"/>
                <w:sz w:val="20"/>
                <w:szCs w:val="20"/>
              </w:rPr>
            </w:pPr>
            <w:r w:rsidRPr="007810E8">
              <w:rPr>
                <w:rFonts w:ascii="Times New Roman" w:hAnsi="Times New Roman"/>
                <w:sz w:val="20"/>
                <w:szCs w:val="20"/>
              </w:rPr>
              <w:t>Справка за подписью Руководителя</w:t>
            </w:r>
          </w:p>
        </w:tc>
        <w:tc>
          <w:tcPr>
            <w:tcW w:w="1092" w:type="dxa"/>
            <w:shd w:val="clear" w:color="auto" w:fill="FFFFFF" w:themeFill="background1"/>
          </w:tcPr>
          <w:p w:rsidR="007810E8" w:rsidRDefault="007810E8" w:rsidP="00E075D8">
            <w:pPr>
              <w:rPr>
                <w:rFonts w:ascii="Times New Roman" w:hAnsi="Times New Roman"/>
                <w:sz w:val="20"/>
                <w:szCs w:val="20"/>
              </w:rPr>
            </w:pPr>
          </w:p>
          <w:p w:rsidR="007810E8" w:rsidRPr="00C37F97" w:rsidRDefault="007810E8" w:rsidP="00E075D8">
            <w:pPr>
              <w:rPr>
                <w:rFonts w:ascii="Times New Roman" w:hAnsi="Times New Roman"/>
                <w:sz w:val="20"/>
                <w:szCs w:val="20"/>
              </w:rPr>
            </w:pPr>
            <w:r w:rsidRPr="007810E8">
              <w:rPr>
                <w:rFonts w:ascii="Times New Roman" w:hAnsi="Times New Roman"/>
                <w:sz w:val="20"/>
                <w:szCs w:val="20"/>
              </w:rPr>
              <w:t>Да/нет</w:t>
            </w:r>
          </w:p>
        </w:tc>
        <w:tc>
          <w:tcPr>
            <w:tcW w:w="1887" w:type="dxa"/>
            <w:shd w:val="clear" w:color="auto" w:fill="FFFFFF" w:themeFill="background1"/>
            <w:vAlign w:val="center"/>
          </w:tcPr>
          <w:p w:rsidR="007810E8" w:rsidRPr="001D13CA" w:rsidRDefault="007810E8" w:rsidP="00E075D8">
            <w:pPr>
              <w:jc w:val="center"/>
              <w:rPr>
                <w:rFonts w:ascii="Times New Roman" w:hAnsi="Times New Roman"/>
                <w:sz w:val="20"/>
                <w:szCs w:val="20"/>
              </w:rPr>
            </w:pPr>
            <w:r w:rsidRPr="007810E8">
              <w:rPr>
                <w:rFonts w:ascii="Times New Roman" w:hAnsi="Times New Roman"/>
                <w:sz w:val="20"/>
                <w:szCs w:val="20"/>
              </w:rPr>
              <w:t>Да</w:t>
            </w:r>
            <w:proofErr w:type="gramStart"/>
            <w:r w:rsidRPr="007810E8">
              <w:rPr>
                <w:rFonts w:ascii="Times New Roman" w:hAnsi="Times New Roman"/>
                <w:sz w:val="20"/>
                <w:szCs w:val="20"/>
              </w:rPr>
              <w:t>/С</w:t>
            </w:r>
            <w:proofErr w:type="gramEnd"/>
            <w:r w:rsidRPr="007810E8">
              <w:rPr>
                <w:rFonts w:ascii="Times New Roman" w:hAnsi="Times New Roman"/>
                <w:sz w:val="20"/>
                <w:szCs w:val="20"/>
              </w:rPr>
              <w:t>оответствует</w:t>
            </w:r>
          </w:p>
        </w:tc>
      </w:tr>
    </w:tbl>
    <w:p w:rsidR="007442E0" w:rsidRDefault="007442E0" w:rsidP="007442E0">
      <w:pPr>
        <w:pStyle w:val="ab"/>
        <w:autoSpaceDE w:val="0"/>
        <w:autoSpaceDN w:val="0"/>
        <w:adjustRightInd w:val="0"/>
        <w:spacing w:before="0" w:line="276" w:lineRule="auto"/>
        <w:jc w:val="both"/>
        <w:rPr>
          <w:rFonts w:ascii="Times New Roman" w:hAnsi="Times New Roman"/>
          <w:b/>
          <w:szCs w:val="22"/>
        </w:rPr>
      </w:pPr>
    </w:p>
    <w:p w:rsidR="00C37F97" w:rsidRPr="00574DC5" w:rsidRDefault="001D13CA" w:rsidP="001D13CA">
      <w:pPr>
        <w:pStyle w:val="ab"/>
        <w:numPr>
          <w:ilvl w:val="0"/>
          <w:numId w:val="9"/>
        </w:numPr>
        <w:autoSpaceDE w:val="0"/>
        <w:autoSpaceDN w:val="0"/>
        <w:adjustRightInd w:val="0"/>
        <w:spacing w:before="0" w:line="276" w:lineRule="auto"/>
        <w:jc w:val="both"/>
        <w:rPr>
          <w:rFonts w:ascii="Times New Roman" w:hAnsi="Times New Roman"/>
          <w:b/>
          <w:szCs w:val="22"/>
        </w:rPr>
      </w:pPr>
      <w:r w:rsidRPr="00574DC5">
        <w:rPr>
          <w:rFonts w:ascii="Times New Roman" w:hAnsi="Times New Roman"/>
          <w:b/>
          <w:szCs w:val="22"/>
        </w:rPr>
        <w:t>Требования к контрагенту</w:t>
      </w:r>
      <w:r w:rsidR="00C37F97" w:rsidRPr="00574DC5">
        <w:rPr>
          <w:rFonts w:ascii="Times New Roman" w:hAnsi="Times New Roman"/>
          <w:b/>
          <w:szCs w:val="22"/>
        </w:rPr>
        <w:t xml:space="preserve">: </w:t>
      </w:r>
    </w:p>
    <w:p w:rsidR="007442E0" w:rsidRPr="00DF1A61"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632" w:type="dxa"/>
        <w:tblInd w:w="-318" w:type="dxa"/>
        <w:tblLayout w:type="fixed"/>
        <w:tblLook w:val="04A0" w:firstRow="1" w:lastRow="0" w:firstColumn="1" w:lastColumn="0" w:noHBand="0" w:noVBand="1"/>
      </w:tblPr>
      <w:tblGrid>
        <w:gridCol w:w="729"/>
        <w:gridCol w:w="2978"/>
        <w:gridCol w:w="2978"/>
        <w:gridCol w:w="2160"/>
        <w:gridCol w:w="1787"/>
      </w:tblGrid>
      <w:tr w:rsidR="007442E0" w:rsidRPr="007442E0" w:rsidTr="00D350C5">
        <w:trPr>
          <w:trHeight w:val="510"/>
        </w:trPr>
        <w:tc>
          <w:tcPr>
            <w:tcW w:w="729"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 xml:space="preserve">№ </w:t>
            </w:r>
            <w:proofErr w:type="gramStart"/>
            <w:r w:rsidRPr="007442E0">
              <w:rPr>
                <w:rFonts w:ascii="Times New Roman" w:hAnsi="Times New Roman"/>
                <w:sz w:val="20"/>
                <w:szCs w:val="20"/>
              </w:rPr>
              <w:t>п</w:t>
            </w:r>
            <w:proofErr w:type="gramEnd"/>
            <w:r w:rsidRPr="007442E0">
              <w:rPr>
                <w:rFonts w:ascii="Times New Roman" w:hAnsi="Times New Roman"/>
                <w:sz w:val="20"/>
                <w:szCs w:val="20"/>
              </w:rPr>
              <w:t>/п</w:t>
            </w:r>
          </w:p>
        </w:tc>
        <w:tc>
          <w:tcPr>
            <w:tcW w:w="2978"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Требования (параметр оценки)</w:t>
            </w:r>
          </w:p>
        </w:tc>
        <w:tc>
          <w:tcPr>
            <w:tcW w:w="2978"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Требуемые подтверждающие документы</w:t>
            </w:r>
          </w:p>
        </w:tc>
        <w:tc>
          <w:tcPr>
            <w:tcW w:w="2160"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Ед. изм</w:t>
            </w:r>
            <w:r w:rsidR="000F3E29">
              <w:rPr>
                <w:rFonts w:ascii="Times New Roman" w:hAnsi="Times New Roman"/>
                <w:sz w:val="20"/>
                <w:szCs w:val="20"/>
              </w:rPr>
              <w:t>.</w:t>
            </w:r>
          </w:p>
        </w:tc>
        <w:tc>
          <w:tcPr>
            <w:tcW w:w="1787"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Условия соответствия</w:t>
            </w:r>
          </w:p>
        </w:tc>
      </w:tr>
      <w:tr w:rsidR="007442E0" w:rsidRPr="007442E0" w:rsidTr="007442E0">
        <w:trPr>
          <w:trHeight w:val="420"/>
        </w:trPr>
        <w:tc>
          <w:tcPr>
            <w:tcW w:w="729"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1</w:t>
            </w:r>
          </w:p>
        </w:tc>
        <w:tc>
          <w:tcPr>
            <w:tcW w:w="2978"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2</w:t>
            </w:r>
          </w:p>
        </w:tc>
        <w:tc>
          <w:tcPr>
            <w:tcW w:w="2978"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3</w:t>
            </w:r>
          </w:p>
        </w:tc>
        <w:tc>
          <w:tcPr>
            <w:tcW w:w="2160"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4</w:t>
            </w:r>
          </w:p>
        </w:tc>
        <w:tc>
          <w:tcPr>
            <w:tcW w:w="1787"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5</w:t>
            </w:r>
          </w:p>
        </w:tc>
      </w:tr>
      <w:tr w:rsidR="007442E0" w:rsidRPr="007442E0" w:rsidTr="007442E0">
        <w:trPr>
          <w:trHeight w:val="339"/>
        </w:trPr>
        <w:tc>
          <w:tcPr>
            <w:tcW w:w="10632"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1.  Производственная мощность</w:t>
            </w:r>
          </w:p>
        </w:tc>
      </w:tr>
      <w:tr w:rsidR="007442E0" w:rsidRPr="007442E0" w:rsidTr="007442E0">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1.1.</w:t>
            </w:r>
          </w:p>
        </w:tc>
        <w:tc>
          <w:tcPr>
            <w:tcW w:w="2978" w:type="dxa"/>
            <w:vMerge w:val="restart"/>
            <w:hideMark/>
          </w:tcPr>
          <w:p w:rsidR="007442E0" w:rsidRPr="007442E0" w:rsidRDefault="00574DC5" w:rsidP="001D13CA">
            <w:pPr>
              <w:jc w:val="both"/>
              <w:rPr>
                <w:rFonts w:ascii="Times New Roman" w:hAnsi="Times New Roman"/>
                <w:sz w:val="20"/>
                <w:szCs w:val="20"/>
              </w:rPr>
            </w:pPr>
            <w:r w:rsidRPr="00574DC5">
              <w:rPr>
                <w:rFonts w:ascii="Times New Roman" w:hAnsi="Times New Roman"/>
                <w:sz w:val="20"/>
                <w:szCs w:val="20"/>
              </w:rPr>
              <w:t>Объем работ за 2014 год по данному типу сделки в текущих ценах</w:t>
            </w: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tc>
        <w:tc>
          <w:tcPr>
            <w:tcW w:w="2978" w:type="dxa"/>
            <w:vMerge w:val="restart"/>
            <w:hideMark/>
          </w:tcPr>
          <w:p w:rsidR="007442E0" w:rsidRPr="007442E0" w:rsidRDefault="00574DC5" w:rsidP="001D13CA">
            <w:pPr>
              <w:jc w:val="both"/>
              <w:rPr>
                <w:rFonts w:ascii="Times New Roman" w:hAnsi="Times New Roman"/>
                <w:sz w:val="20"/>
                <w:szCs w:val="20"/>
              </w:rPr>
            </w:pPr>
            <w:r w:rsidRPr="00574DC5">
              <w:rPr>
                <w:rFonts w:ascii="Times New Roman" w:hAnsi="Times New Roman"/>
                <w:sz w:val="20"/>
                <w:szCs w:val="20"/>
              </w:rPr>
              <w:t>Справка за подписью Руководителя об объемах работ с указанием договоров, Заказчиков, размеров выполняемых работ в денежном выражении. Указать, какое количество объемов выполняется самостоятельно (</w:t>
            </w:r>
            <w:proofErr w:type="gramStart"/>
            <w:r w:rsidRPr="00574DC5">
              <w:rPr>
                <w:rFonts w:ascii="Times New Roman" w:hAnsi="Times New Roman"/>
                <w:sz w:val="20"/>
                <w:szCs w:val="20"/>
              </w:rPr>
              <w:t>в</w:t>
            </w:r>
            <w:proofErr w:type="gramEnd"/>
            <w:r w:rsidRPr="00574DC5">
              <w:rPr>
                <w:rFonts w:ascii="Times New Roman" w:hAnsi="Times New Roman"/>
                <w:sz w:val="20"/>
                <w:szCs w:val="20"/>
              </w:rPr>
              <w:t xml:space="preserve"> %). Указывается только объем работ по данному типу сделки</w:t>
            </w:r>
            <w:r w:rsidR="007442E0" w:rsidRPr="007442E0">
              <w:rPr>
                <w:rFonts w:ascii="Times New Roman" w:hAnsi="Times New Roman"/>
                <w:sz w:val="20"/>
                <w:szCs w:val="20"/>
              </w:rPr>
              <w:t>.</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млн. руб.</w:t>
            </w:r>
          </w:p>
        </w:tc>
        <w:tc>
          <w:tcPr>
            <w:tcW w:w="178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 млн. руб. и более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7442E0">
            <w:pPr>
              <w:jc w:val="center"/>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в том числе: собственными силами</w:t>
            </w: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w:t>
            </w:r>
          </w:p>
        </w:tc>
        <w:tc>
          <w:tcPr>
            <w:tcW w:w="178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50%  и более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75"/>
        </w:trPr>
        <w:tc>
          <w:tcPr>
            <w:tcW w:w="10632"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2. Опыт работы в данной области</w:t>
            </w:r>
          </w:p>
        </w:tc>
      </w:tr>
      <w:tr w:rsidR="007442E0" w:rsidRPr="007442E0" w:rsidTr="007442E0">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2.1.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Опыт работы по данному типу сделки</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Указать Заказчиков, объемы, где, когда выполнялись работы. Учитываются показатели только по данному типу сделки</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Год</w:t>
            </w:r>
          </w:p>
        </w:tc>
        <w:tc>
          <w:tcPr>
            <w:tcW w:w="178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w:t>
            </w: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опыт работы 3 и более лет</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2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95"/>
        </w:trPr>
        <w:tc>
          <w:tcPr>
            <w:tcW w:w="10632" w:type="dxa"/>
            <w:gridSpan w:val="5"/>
            <w:hideMark/>
          </w:tcPr>
          <w:p w:rsidR="007442E0" w:rsidRPr="007442E0" w:rsidRDefault="007442E0" w:rsidP="007442E0">
            <w:pPr>
              <w:ind w:left="360"/>
              <w:jc w:val="center"/>
              <w:rPr>
                <w:rFonts w:ascii="Times New Roman" w:hAnsi="Times New Roman"/>
                <w:bCs/>
                <w:i/>
                <w:sz w:val="20"/>
                <w:szCs w:val="20"/>
              </w:rPr>
            </w:pPr>
            <w:r w:rsidRPr="007442E0">
              <w:rPr>
                <w:rFonts w:ascii="Times New Roman" w:hAnsi="Times New Roman"/>
                <w:bCs/>
                <w:i/>
                <w:sz w:val="20"/>
                <w:szCs w:val="20"/>
              </w:rPr>
              <w:t>3.Оснащенность, обеспеченность и готовность</w:t>
            </w:r>
          </w:p>
        </w:tc>
      </w:tr>
      <w:tr w:rsidR="007442E0" w:rsidRPr="007442E0" w:rsidTr="007442E0">
        <w:trPr>
          <w:trHeight w:val="480"/>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3.1.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Оснащенность персонала </w:t>
            </w:r>
            <w:r w:rsidRPr="007442E0">
              <w:rPr>
                <w:rFonts w:ascii="Times New Roman" w:hAnsi="Times New Roman"/>
                <w:sz w:val="20"/>
                <w:szCs w:val="20"/>
              </w:rPr>
              <w:lastRenderedPageBreak/>
              <w:t>необходимым инструментом, переносными измерительными средствами, оснащенность рабочих мест в соответствии с требованиями технического задания.</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w:t>
            </w:r>
          </w:p>
        </w:tc>
        <w:tc>
          <w:tcPr>
            <w:tcW w:w="2160"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w:t>
            </w:r>
          </w:p>
        </w:tc>
        <w:tc>
          <w:tcPr>
            <w:tcW w:w="1787"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100</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54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540"/>
        </w:trPr>
        <w:tc>
          <w:tcPr>
            <w:tcW w:w="729"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lastRenderedPageBreak/>
              <w:t>3.2.</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Время устранения сбоев/выполнения заявок    </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w:t>
            </w:r>
          </w:p>
        </w:tc>
        <w:tc>
          <w:tcPr>
            <w:tcW w:w="2160" w:type="dxa"/>
            <w:hideMark/>
          </w:tcPr>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сутки</w:t>
            </w:r>
          </w:p>
        </w:tc>
        <w:tc>
          <w:tcPr>
            <w:tcW w:w="1787"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менее 3 суток</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14"/>
        </w:trPr>
        <w:tc>
          <w:tcPr>
            <w:tcW w:w="10632"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Персонал</w:t>
            </w:r>
          </w:p>
        </w:tc>
      </w:tr>
      <w:tr w:rsidR="007442E0" w:rsidRPr="007442E0" w:rsidTr="007442E0">
        <w:trPr>
          <w:trHeight w:val="495"/>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4.1.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Наличие сертифицированных специалистов (ИТР)  (предоставление справки из отдела кадров) для поддержки </w:t>
            </w:r>
            <w:proofErr w:type="gramStart"/>
            <w:r w:rsidRPr="007442E0">
              <w:rPr>
                <w:rFonts w:ascii="Times New Roman" w:hAnsi="Times New Roman"/>
                <w:sz w:val="20"/>
                <w:szCs w:val="20"/>
              </w:rPr>
              <w:t>ПО</w:t>
            </w:r>
            <w:proofErr w:type="gramEnd"/>
            <w:r w:rsidRPr="007442E0">
              <w:rPr>
                <w:rFonts w:ascii="Times New Roman" w:hAnsi="Times New Roman"/>
                <w:sz w:val="20"/>
                <w:szCs w:val="20"/>
              </w:rPr>
              <w:t xml:space="preserve"> согласно </w:t>
            </w:r>
            <w:proofErr w:type="gramStart"/>
            <w:r w:rsidRPr="007442E0">
              <w:rPr>
                <w:rFonts w:ascii="Times New Roman" w:hAnsi="Times New Roman"/>
                <w:sz w:val="20"/>
                <w:szCs w:val="20"/>
              </w:rPr>
              <w:t>типа</w:t>
            </w:r>
            <w:proofErr w:type="gramEnd"/>
            <w:r w:rsidRPr="007442E0">
              <w:rPr>
                <w:rFonts w:ascii="Times New Roman" w:hAnsi="Times New Roman"/>
                <w:sz w:val="20"/>
                <w:szCs w:val="20"/>
              </w:rPr>
              <w:t xml:space="preserve"> сделки  </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и начальника кадровой </w:t>
            </w:r>
            <w:proofErr w:type="gramStart"/>
            <w:r w:rsidRPr="007442E0">
              <w:rPr>
                <w:rFonts w:ascii="Times New Roman" w:hAnsi="Times New Roman"/>
                <w:sz w:val="20"/>
                <w:szCs w:val="20"/>
              </w:rPr>
              <w:t>службы-перечень</w:t>
            </w:r>
            <w:proofErr w:type="gramEnd"/>
            <w:r w:rsidRPr="007442E0">
              <w:rPr>
                <w:rFonts w:ascii="Times New Roman" w:hAnsi="Times New Roman"/>
                <w:sz w:val="20"/>
                <w:szCs w:val="20"/>
              </w:rPr>
              <w:t xml:space="preserve"> специалистов, их </w:t>
            </w:r>
            <w:proofErr w:type="spellStart"/>
            <w:r w:rsidRPr="007442E0">
              <w:rPr>
                <w:rFonts w:ascii="Times New Roman" w:hAnsi="Times New Roman"/>
                <w:sz w:val="20"/>
                <w:szCs w:val="20"/>
              </w:rPr>
              <w:t>обученность</w:t>
            </w:r>
            <w:proofErr w:type="spellEnd"/>
            <w:r w:rsidRPr="007442E0">
              <w:rPr>
                <w:rFonts w:ascii="Times New Roman" w:hAnsi="Times New Roman"/>
                <w:sz w:val="20"/>
                <w:szCs w:val="20"/>
              </w:rPr>
              <w:t xml:space="preserve">. Засчитываются только сведения, касающиеся данного типа сделки   </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Наличие/Отсутствие</w:t>
            </w:r>
          </w:p>
        </w:tc>
        <w:tc>
          <w:tcPr>
            <w:tcW w:w="178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60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535"/>
        </w:trPr>
        <w:tc>
          <w:tcPr>
            <w:tcW w:w="10632"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Гарантии и обязательства Контрагента</w:t>
            </w:r>
          </w:p>
        </w:tc>
      </w:tr>
      <w:tr w:rsidR="007442E0" w:rsidRPr="007442E0" w:rsidTr="007442E0">
        <w:trPr>
          <w:trHeight w:val="525"/>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 по согласованию с заказчиком</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2160"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92"/>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600"/>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5.2</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Согласие на проведение аудита Заказчиком и предоставления Подрядчиком мероприятий по устранению замечаний по результатам аудита</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5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09"/>
        </w:trPr>
        <w:tc>
          <w:tcPr>
            <w:tcW w:w="10632"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Прочие Критерии</w:t>
            </w:r>
          </w:p>
        </w:tc>
      </w:tr>
      <w:tr w:rsidR="007442E0" w:rsidRPr="007442E0" w:rsidTr="007442E0">
        <w:trPr>
          <w:trHeight w:val="690"/>
        </w:trPr>
        <w:tc>
          <w:tcPr>
            <w:tcW w:w="729"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6.1.</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Согласие с условиями типового договора ОАО "СН-МНГ"</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предприятия</w:t>
            </w:r>
          </w:p>
        </w:tc>
        <w:tc>
          <w:tcPr>
            <w:tcW w:w="2160" w:type="dxa"/>
            <w:hideMark/>
          </w:tcPr>
          <w:p w:rsidR="007442E0" w:rsidRPr="007442E0" w:rsidRDefault="007442E0" w:rsidP="007442E0">
            <w:pPr>
              <w:jc w:val="both"/>
              <w:rPr>
                <w:rFonts w:ascii="Times New Roman" w:hAnsi="Times New Roman"/>
                <w:sz w:val="20"/>
                <w:szCs w:val="20"/>
              </w:rPr>
            </w:pPr>
            <w:r w:rsidRPr="007442E0">
              <w:rPr>
                <w:rFonts w:ascii="Times New Roman" w:hAnsi="Times New Roman"/>
                <w:sz w:val="20"/>
                <w:szCs w:val="20"/>
              </w:rPr>
              <w:t xml:space="preserve">         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7" w:type="dxa"/>
            <w:hideMark/>
          </w:tcPr>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bl>
    <w:p w:rsidR="00C37F97" w:rsidRDefault="00C37F9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p>
    <w:p w:rsidR="00335FEA" w:rsidRDefault="00335FEA" w:rsidP="000127F9">
      <w:pPr>
        <w:spacing w:before="0"/>
        <w:jc w:val="right"/>
        <w:rPr>
          <w:rFonts w:ascii="Times New Roman" w:hAnsi="Times New Roman"/>
          <w:b/>
          <w:sz w:val="24"/>
        </w:rPr>
      </w:pPr>
      <w:bookmarkStart w:id="0" w:name="_GoBack"/>
      <w:bookmarkEnd w:id="0"/>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6"/>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574DC5">
        <w:rPr>
          <w:rFonts w:ascii="Times New Roman" w:hAnsi="Times New Roman"/>
          <w:b/>
          <w:color w:val="auto"/>
          <w:sz w:val="24"/>
        </w:rPr>
        <w:t>884</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335FEA">
        <w:rPr>
          <w:rFonts w:ascii="Times New Roman" w:hAnsi="Times New Roman"/>
          <w:b/>
          <w:color w:val="auto"/>
          <w:sz w:val="24"/>
        </w:rPr>
        <w:t>04.12.</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A4DDA" w:rsidRPr="00DA4DDA">
        <w:rPr>
          <w:rFonts w:ascii="Times New Roman" w:hAnsi="Times New Roman"/>
          <w:color w:val="000000" w:themeColor="text1"/>
          <w:sz w:val="24"/>
        </w:rPr>
        <w:t xml:space="preserve">на оказание </w:t>
      </w:r>
      <w:r w:rsidR="00574DC5">
        <w:rPr>
          <w:rFonts w:ascii="Times New Roman" w:hAnsi="Times New Roman"/>
          <w:color w:val="000000" w:themeColor="text1"/>
          <w:sz w:val="24"/>
        </w:rPr>
        <w:t xml:space="preserve">услуг </w:t>
      </w:r>
      <w:r w:rsidR="00574DC5" w:rsidRPr="00574DC5">
        <w:rPr>
          <w:rFonts w:ascii="Times New Roman" w:hAnsi="Times New Roman"/>
          <w:color w:val="000000" w:themeColor="text1"/>
          <w:sz w:val="24"/>
        </w:rPr>
        <w:t>по технической поддержке программного обеспечения:</w:t>
      </w:r>
      <w:proofErr w:type="gramEnd"/>
      <w:r w:rsidR="00574DC5" w:rsidRPr="00574DC5">
        <w:rPr>
          <w:rFonts w:ascii="Times New Roman" w:hAnsi="Times New Roman"/>
          <w:color w:val="000000" w:themeColor="text1"/>
          <w:sz w:val="24"/>
        </w:rPr>
        <w:t xml:space="preserve"> OIS-</w:t>
      </w:r>
      <w:proofErr w:type="spellStart"/>
      <w:r w:rsidR="00574DC5" w:rsidRPr="00574DC5">
        <w:rPr>
          <w:rFonts w:ascii="Times New Roman" w:hAnsi="Times New Roman"/>
          <w:color w:val="000000" w:themeColor="text1"/>
          <w:sz w:val="24"/>
        </w:rPr>
        <w:t>Production</w:t>
      </w:r>
      <w:proofErr w:type="spellEnd"/>
      <w:r w:rsidR="00574DC5" w:rsidRPr="00574DC5">
        <w:rPr>
          <w:rFonts w:ascii="Times New Roman" w:hAnsi="Times New Roman"/>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354B7A" w:rsidRDefault="00354B7A" w:rsidP="000127F9">
      <w:pPr>
        <w:jc w:val="right"/>
        <w:rPr>
          <w:rFonts w:ascii="Times New Roman" w:hAnsi="Times New Roman"/>
          <w:b/>
          <w:sz w:val="24"/>
        </w:rPr>
      </w:pPr>
    </w:p>
    <w:p w:rsidR="00354B7A" w:rsidRDefault="00354B7A"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A4DDA" w:rsidRPr="00DA4DDA">
        <w:rPr>
          <w:rFonts w:ascii="Times New Roman" w:hAnsi="Times New Roman"/>
          <w:sz w:val="23"/>
          <w:szCs w:val="23"/>
        </w:rPr>
        <w:t xml:space="preserve">на оказание </w:t>
      </w:r>
      <w:r w:rsidR="00574DC5">
        <w:rPr>
          <w:rFonts w:ascii="Times New Roman" w:hAnsi="Times New Roman"/>
          <w:sz w:val="23"/>
          <w:szCs w:val="23"/>
        </w:rPr>
        <w:t xml:space="preserve">услуг </w:t>
      </w:r>
      <w:r w:rsidR="00574DC5" w:rsidRPr="00574DC5">
        <w:rPr>
          <w:rFonts w:ascii="Times New Roman" w:hAnsi="Times New Roman"/>
          <w:sz w:val="23"/>
          <w:szCs w:val="23"/>
        </w:rPr>
        <w:t>по технической поддержке программно</w:t>
      </w:r>
      <w:r w:rsidR="00574DC5">
        <w:rPr>
          <w:rFonts w:ascii="Times New Roman" w:hAnsi="Times New Roman"/>
          <w:sz w:val="23"/>
          <w:szCs w:val="23"/>
        </w:rPr>
        <w:t>го обеспечения: OIS-</w:t>
      </w:r>
      <w:proofErr w:type="spellStart"/>
      <w:r w:rsidR="00574DC5">
        <w:rPr>
          <w:rFonts w:ascii="Times New Roman" w:hAnsi="Times New Roman"/>
          <w:sz w:val="23"/>
          <w:szCs w:val="23"/>
        </w:rPr>
        <w:t>Production</w:t>
      </w:r>
      <w:proofErr w:type="spellEnd"/>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574DC5" w:rsidP="00DA3572">
            <w:pPr>
              <w:pStyle w:val="af"/>
              <w:jc w:val="center"/>
              <w:rPr>
                <w:rFonts w:ascii="Times New Roman" w:hAnsi="Times New Roman"/>
                <w:sz w:val="23"/>
                <w:szCs w:val="23"/>
              </w:rPr>
            </w:pPr>
            <w:r>
              <w:rPr>
                <w:rFonts w:ascii="Times New Roman" w:hAnsi="Times New Roman"/>
                <w:sz w:val="23"/>
                <w:szCs w:val="23"/>
              </w:rPr>
              <w:t>Техническая поддержка ПО «</w:t>
            </w:r>
            <w:r w:rsidRPr="00574DC5">
              <w:rPr>
                <w:rFonts w:ascii="Times New Roman" w:hAnsi="Times New Roman"/>
                <w:sz w:val="23"/>
                <w:szCs w:val="23"/>
              </w:rPr>
              <w:t>OIS-</w:t>
            </w:r>
            <w:proofErr w:type="spellStart"/>
            <w:r w:rsidRPr="00574DC5">
              <w:rPr>
                <w:rFonts w:ascii="Times New Roman" w:hAnsi="Times New Roman"/>
                <w:sz w:val="23"/>
                <w:szCs w:val="23"/>
              </w:rPr>
              <w:t>Production</w:t>
            </w:r>
            <w:proofErr w:type="spellEnd"/>
            <w:r>
              <w:rPr>
                <w:rFonts w:ascii="Times New Roman" w:hAnsi="Times New Roman"/>
                <w:sz w:val="23"/>
                <w:szCs w:val="23"/>
              </w:rPr>
              <w:t>»</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574DC5">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574DC5">
              <w:rPr>
                <w:rFonts w:ascii="Times New Roman" w:hAnsi="Times New Roman"/>
                <w:sz w:val="23"/>
                <w:szCs w:val="23"/>
              </w:rPr>
              <w:t>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EA132E" w:rsidP="00574DC5">
            <w:pPr>
              <w:pStyle w:val="af"/>
              <w:rPr>
                <w:rFonts w:ascii="Times New Roman" w:hAnsi="Times New Roman"/>
                <w:sz w:val="23"/>
                <w:szCs w:val="23"/>
              </w:rPr>
            </w:pPr>
            <w:r w:rsidRPr="00EA132E">
              <w:rPr>
                <w:rFonts w:ascii="Times New Roman" w:hAnsi="Times New Roman"/>
                <w:sz w:val="23"/>
                <w:szCs w:val="23"/>
              </w:rPr>
              <w:t xml:space="preserve">Условия оплаты: </w:t>
            </w:r>
            <w:r w:rsidRPr="00EA132E">
              <w:rPr>
                <w:rFonts w:ascii="Times New Roman" w:hAnsi="Times New Roman"/>
                <w:sz w:val="23"/>
                <w:szCs w:val="23"/>
              </w:rPr>
              <w:tab/>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Pr="00EA132E">
              <w:rPr>
                <w:rFonts w:ascii="Times New Roman" w:hAnsi="Times New Roman"/>
                <w:sz w:val="23"/>
                <w:szCs w:val="23"/>
              </w:rPr>
              <w:t>с даты получения</w:t>
            </w:r>
            <w:proofErr w:type="gramEnd"/>
            <w:r w:rsidRPr="00EA132E">
              <w:rPr>
                <w:rFonts w:ascii="Times New Roman" w:hAnsi="Times New Roman"/>
                <w:sz w:val="23"/>
                <w:szCs w:val="23"/>
              </w:rPr>
              <w:t xml:space="preserve"> от Исполнителя оригиналов следующих документов: а) акта </w:t>
            </w:r>
            <w:r w:rsidR="00574DC5">
              <w:rPr>
                <w:rFonts w:ascii="Times New Roman" w:hAnsi="Times New Roman"/>
                <w:sz w:val="23"/>
                <w:szCs w:val="23"/>
              </w:rPr>
              <w:t>оказанных услуг</w:t>
            </w:r>
            <w:r w:rsidRPr="00EA132E">
              <w:rPr>
                <w:rFonts w:ascii="Times New Roman" w:hAnsi="Times New Roman"/>
                <w:sz w:val="23"/>
                <w:szCs w:val="23"/>
              </w:rPr>
              <w:t>; б) счета-фактуры.</w:t>
            </w:r>
            <w:r w:rsidR="00DA4DDA">
              <w:t xml:space="preserve">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354B7A">
        <w:rPr>
          <w:rFonts w:ascii="Times New Roman" w:hAnsi="Times New Roman"/>
          <w:sz w:val="23"/>
          <w:szCs w:val="23"/>
        </w:rPr>
        <w:t>мая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74DC5">
        <w:rPr>
          <w:rFonts w:ascii="Times New Roman" w:hAnsi="Times New Roman"/>
          <w:bCs/>
          <w:sz w:val="24"/>
          <w:u w:val="single"/>
        </w:rPr>
        <w:t>884</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5C6" w:rsidRDefault="008E75C6">
      <w:pPr>
        <w:spacing w:before="0"/>
      </w:pPr>
      <w:r>
        <w:separator/>
      </w:r>
    </w:p>
  </w:endnote>
  <w:endnote w:type="continuationSeparator" w:id="0">
    <w:p w:rsidR="008E75C6" w:rsidRDefault="008E75C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335FEA">
          <w:rPr>
            <w:noProof/>
          </w:rPr>
          <w:t>13</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5C6" w:rsidRDefault="008E75C6">
      <w:pPr>
        <w:spacing w:before="0"/>
      </w:pPr>
      <w:r>
        <w:separator/>
      </w:r>
    </w:p>
  </w:footnote>
  <w:footnote w:type="continuationSeparator" w:id="0">
    <w:p w:rsidR="008E75C6" w:rsidRDefault="008E75C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ED1D10" w:rsidP="009E4D6B">
    <w:pPr>
      <w:pStyle w:val="ad"/>
      <w:jc w:val="right"/>
    </w:pPr>
    <w:r>
      <w:t>ПДО 884</w:t>
    </w:r>
    <w:r w:rsidR="001D13CA">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35FEA"/>
    <w:rsid w:val="003408B5"/>
    <w:rsid w:val="0034168E"/>
    <w:rsid w:val="003454B5"/>
    <w:rsid w:val="00345A95"/>
    <w:rsid w:val="00354B7A"/>
    <w:rsid w:val="0036720F"/>
    <w:rsid w:val="00367C11"/>
    <w:rsid w:val="00372BD8"/>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4DC5"/>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10E8"/>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6CB"/>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E75C6"/>
    <w:rsid w:val="008F2B4A"/>
    <w:rsid w:val="008F2E0E"/>
    <w:rsid w:val="009136EB"/>
    <w:rsid w:val="009258E2"/>
    <w:rsid w:val="00927DBF"/>
    <w:rsid w:val="00932E5D"/>
    <w:rsid w:val="00937663"/>
    <w:rsid w:val="00942AC3"/>
    <w:rsid w:val="00943FE9"/>
    <w:rsid w:val="00954E79"/>
    <w:rsid w:val="0096095C"/>
    <w:rsid w:val="00963D7F"/>
    <w:rsid w:val="009730D0"/>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37F97"/>
    <w:rsid w:val="00C43822"/>
    <w:rsid w:val="00C44C4C"/>
    <w:rsid w:val="00C55B89"/>
    <w:rsid w:val="00C60AAC"/>
    <w:rsid w:val="00C6211E"/>
    <w:rsid w:val="00C624E9"/>
    <w:rsid w:val="00C72992"/>
    <w:rsid w:val="00C7438D"/>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6C08"/>
    <w:rsid w:val="00EC2553"/>
    <w:rsid w:val="00EC724A"/>
    <w:rsid w:val="00ED0F10"/>
    <w:rsid w:val="00ED1D10"/>
    <w:rsid w:val="00ED33E8"/>
    <w:rsid w:val="00ED3854"/>
    <w:rsid w:val="00ED6421"/>
    <w:rsid w:val="00EF4E8C"/>
    <w:rsid w:val="00EF5286"/>
    <w:rsid w:val="00EF7057"/>
    <w:rsid w:val="00F00D7B"/>
    <w:rsid w:val="00F024FC"/>
    <w:rsid w:val="00F02FCB"/>
    <w:rsid w:val="00F23062"/>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A4CFC"/>
    <w:rsid w:val="00FB3B93"/>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FilinaSP@mng.slavneft.ru" TargetMode="External"/><Relationship Id="rId4" Type="http://schemas.microsoft.com/office/2007/relationships/stylesWithEffects" Target="stylesWithEffects.xml"/><Relationship Id="rId9" Type="http://schemas.openxmlformats.org/officeDocument/2006/relationships/hyperlink" Target="mailto:GlebovES@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DDC6A-09D1-4B70-92ED-054A8D3A6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4092</Words>
  <Characters>23325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10</cp:revision>
  <cp:lastPrinted>2015-09-29T09:08:00Z</cp:lastPrinted>
  <dcterms:created xsi:type="dcterms:W3CDTF">2015-10-30T08:31:00Z</dcterms:created>
  <dcterms:modified xsi:type="dcterms:W3CDTF">2015-12-03T13:38:00Z</dcterms:modified>
</cp:coreProperties>
</file>