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6E" w:rsidRPr="003B1684" w:rsidRDefault="00CA286E" w:rsidP="00CA286E">
      <w:pPr>
        <w:suppressAutoHyphens/>
        <w:ind w:firstLine="851"/>
        <w:jc w:val="right"/>
        <w:rPr>
          <w:rFonts w:ascii="Times New Roman" w:hAnsi="Times New Roman"/>
          <w:bCs/>
          <w:sz w:val="16"/>
          <w:szCs w:val="16"/>
          <w:highlight w:val="lightGray"/>
        </w:rPr>
      </w:pPr>
      <w:r w:rsidRPr="003B1684">
        <w:rPr>
          <w:rFonts w:ascii="Times New Roman" w:hAnsi="Times New Roman"/>
          <w:bCs/>
          <w:sz w:val="16"/>
          <w:szCs w:val="16"/>
          <w:highlight w:val="lightGray"/>
        </w:rPr>
        <w:t>Приложение №</w:t>
      </w:r>
      <w:r w:rsidR="008747D2">
        <w:rPr>
          <w:rFonts w:ascii="Times New Roman" w:hAnsi="Times New Roman"/>
          <w:bCs/>
          <w:sz w:val="16"/>
          <w:szCs w:val="16"/>
          <w:highlight w:val="lightGray"/>
        </w:rPr>
        <w:t>12</w:t>
      </w:r>
      <w:bookmarkStart w:id="0" w:name="_GoBack"/>
      <w:bookmarkEnd w:id="0"/>
    </w:p>
    <w:p w:rsidR="00CA286E" w:rsidRPr="00CA286E" w:rsidRDefault="00CA286E" w:rsidP="00E46DAC">
      <w:pPr>
        <w:suppressAutoHyphens/>
        <w:ind w:firstLine="851"/>
        <w:jc w:val="right"/>
        <w:rPr>
          <w:rFonts w:ascii="Times New Roman" w:hAnsi="Times New Roman"/>
          <w:b/>
          <w:bCs/>
          <w:sz w:val="24"/>
        </w:rPr>
      </w:pPr>
      <w:r w:rsidRPr="003B1684">
        <w:rPr>
          <w:rFonts w:ascii="Times New Roman" w:hAnsi="Times New Roman"/>
          <w:bCs/>
          <w:sz w:val="16"/>
          <w:szCs w:val="16"/>
          <w:highlight w:val="lightGray"/>
        </w:rPr>
        <w:t xml:space="preserve">к договору </w:t>
      </w:r>
      <w:r w:rsidR="00E46DAC" w:rsidRPr="003B1684">
        <w:rPr>
          <w:rFonts w:ascii="Times New Roman" w:hAnsi="Times New Roman"/>
          <w:bCs/>
          <w:sz w:val="16"/>
          <w:szCs w:val="16"/>
          <w:highlight w:val="lightGray"/>
        </w:rPr>
        <w:t xml:space="preserve">№ </w:t>
      </w:r>
      <w:r w:rsidR="003B1684" w:rsidRPr="003B1684">
        <w:rPr>
          <w:rFonts w:ascii="Times New Roman" w:hAnsi="Times New Roman"/>
          <w:bCs/>
          <w:sz w:val="16"/>
          <w:szCs w:val="16"/>
          <w:highlight w:val="lightGray"/>
        </w:rPr>
        <w:t>___________</w:t>
      </w:r>
      <w:r w:rsidR="00E46DAC" w:rsidRPr="003B1684">
        <w:rPr>
          <w:rFonts w:ascii="Times New Roman" w:hAnsi="Times New Roman"/>
          <w:bCs/>
          <w:sz w:val="16"/>
          <w:szCs w:val="16"/>
          <w:highlight w:val="lightGray"/>
        </w:rPr>
        <w:t xml:space="preserve"> от </w:t>
      </w:r>
      <w:r w:rsidR="003B1684" w:rsidRPr="003B1684">
        <w:rPr>
          <w:rFonts w:ascii="Times New Roman" w:hAnsi="Times New Roman"/>
          <w:bCs/>
          <w:sz w:val="16"/>
          <w:szCs w:val="16"/>
          <w:highlight w:val="lightGray"/>
        </w:rPr>
        <w:t>___.___.20___г</w:t>
      </w:r>
      <w:proofErr w:type="gramStart"/>
      <w:r w:rsidR="003B1684" w:rsidRPr="003B1684">
        <w:rPr>
          <w:rFonts w:ascii="Times New Roman" w:hAnsi="Times New Roman"/>
          <w:bCs/>
          <w:sz w:val="16"/>
          <w:szCs w:val="16"/>
          <w:highlight w:val="lightGray"/>
        </w:rPr>
        <w:t>.</w:t>
      </w:r>
      <w:r w:rsidR="00E46DAC" w:rsidRPr="003B1684">
        <w:rPr>
          <w:rFonts w:ascii="Times New Roman" w:hAnsi="Times New Roman"/>
          <w:bCs/>
          <w:sz w:val="16"/>
          <w:szCs w:val="16"/>
          <w:highlight w:val="lightGray"/>
        </w:rPr>
        <w:t>.</w:t>
      </w:r>
      <w:proofErr w:type="gramEnd"/>
    </w:p>
    <w:p w:rsidR="00CA286E" w:rsidRPr="00CA286E" w:rsidRDefault="00CA286E" w:rsidP="00CA286E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86E" w:rsidRPr="00CA286E" w:rsidRDefault="00CA286E" w:rsidP="00CA286E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86E" w:rsidRPr="00CA286E" w:rsidRDefault="00CA286E" w:rsidP="00CA286E">
      <w:pPr>
        <w:suppressAutoHyphens/>
        <w:ind w:firstLine="851"/>
        <w:jc w:val="both"/>
        <w:rPr>
          <w:rFonts w:ascii="Times New Roman" w:hAnsi="Times New Roman"/>
          <w:b/>
          <w:bCs/>
          <w:sz w:val="24"/>
        </w:rPr>
      </w:pPr>
    </w:p>
    <w:p w:rsidR="00CA286E" w:rsidRPr="00CA286E" w:rsidRDefault="003B1684" w:rsidP="00CA286E">
      <w:pPr>
        <w:suppressAutoHyphens/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5377AC">
        <w:rPr>
          <w:rFonts w:ascii="Times New Roman" w:hAnsi="Times New Roman"/>
          <w:b/>
          <w:bCs/>
          <w:sz w:val="24"/>
          <w:lang w:eastAsia="ar-SA"/>
        </w:rPr>
        <w:t>Открытое акционерное общество «Славнефть-Мегионнефтегаз» (ОАО «СН-МНГ»)</w:t>
      </w:r>
      <w:r w:rsidRPr="005377AC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«Заказчик»</w:t>
      </w:r>
      <w:r w:rsidRPr="005377AC">
        <w:rPr>
          <w:rFonts w:ascii="Times New Roman" w:hAnsi="Times New Roman"/>
          <w:sz w:val="24"/>
          <w:lang w:eastAsia="ar-SA"/>
        </w:rPr>
        <w:t>, в лице</w:t>
      </w:r>
      <w:r w:rsidRPr="005377AC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________________________</w:t>
      </w:r>
      <w:r w:rsidRPr="005377AC">
        <w:rPr>
          <w:rFonts w:ascii="Times New Roman" w:hAnsi="Times New Roman"/>
          <w:sz w:val="24"/>
          <w:lang w:eastAsia="ar-SA"/>
        </w:rPr>
        <w:t>,</w:t>
      </w:r>
      <w:r w:rsidRPr="005377AC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Pr="005377AC">
        <w:rPr>
          <w:rFonts w:ascii="Times New Roman" w:hAnsi="Times New Roman"/>
          <w:sz w:val="24"/>
          <w:lang w:eastAsia="ar-SA"/>
        </w:rPr>
        <w:t xml:space="preserve">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 с одной стороны, 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__________________ (____________</w:t>
      </w:r>
      <w:r w:rsidRPr="005377AC">
        <w:rPr>
          <w:rFonts w:ascii="Times New Roman" w:hAnsi="Times New Roman"/>
          <w:b/>
          <w:bCs/>
          <w:sz w:val="24"/>
          <w:highlight w:val="lightGray"/>
          <w:lang w:eastAsia="ar-SA"/>
        </w:rPr>
        <w:t>)</w:t>
      </w:r>
      <w:r w:rsidRPr="005377AC">
        <w:rPr>
          <w:rFonts w:ascii="Times New Roman" w:hAnsi="Times New Roman"/>
          <w:sz w:val="24"/>
          <w:lang w:eastAsia="ar-SA"/>
        </w:rPr>
        <w:t xml:space="preserve"> именуемое в дальнейшем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«Подрядчик»</w:t>
      </w:r>
      <w:r w:rsidRPr="005377AC">
        <w:rPr>
          <w:rFonts w:ascii="Times New Roman" w:hAnsi="Times New Roman"/>
          <w:sz w:val="24"/>
          <w:lang w:eastAsia="ar-SA"/>
        </w:rPr>
        <w:t xml:space="preserve">, в лице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________________</w:t>
      </w:r>
      <w:r w:rsidRPr="005377AC">
        <w:rPr>
          <w:rFonts w:ascii="Times New Roman" w:hAnsi="Times New Roman"/>
          <w:sz w:val="24"/>
          <w:lang w:eastAsia="ar-SA"/>
        </w:rPr>
        <w:t xml:space="preserve">, действующего на основании </w:t>
      </w:r>
      <w:r w:rsidRPr="005377AC">
        <w:rPr>
          <w:rFonts w:ascii="Times New Roman" w:hAnsi="Times New Roman"/>
          <w:sz w:val="24"/>
          <w:highlight w:val="lightGray"/>
          <w:lang w:eastAsia="ar-SA"/>
        </w:rPr>
        <w:t>___________</w:t>
      </w:r>
      <w:r w:rsidRPr="005377AC">
        <w:rPr>
          <w:rFonts w:ascii="Times New Roman" w:hAnsi="Times New Roman"/>
          <w:sz w:val="24"/>
          <w:lang w:eastAsia="ar-SA"/>
        </w:rPr>
        <w:t xml:space="preserve">, с другой стороны, совместно именуемые </w:t>
      </w:r>
      <w:r w:rsidRPr="005377AC">
        <w:rPr>
          <w:rFonts w:ascii="Times New Roman" w:hAnsi="Times New Roman"/>
          <w:b/>
          <w:bCs/>
          <w:sz w:val="24"/>
          <w:lang w:eastAsia="ar-SA"/>
        </w:rPr>
        <w:t>«Стороны»</w:t>
      </w:r>
      <w:r w:rsidR="00CA286E" w:rsidRPr="00CA286E">
        <w:rPr>
          <w:rFonts w:ascii="Times New Roman" w:hAnsi="Times New Roman"/>
          <w:sz w:val="24"/>
        </w:rPr>
        <w:t>, заключили настоящее приложение к Договору о нижеследующем:</w:t>
      </w:r>
      <w:proofErr w:type="gramEnd"/>
    </w:p>
    <w:p w:rsidR="00CA286E" w:rsidRPr="00CA286E" w:rsidRDefault="00CA286E" w:rsidP="00CA286E">
      <w:pPr>
        <w:suppressAutoHyphens/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rPr>
          <w:rFonts w:ascii="Times New Roman" w:hAnsi="Times New Roman"/>
          <w:sz w:val="24"/>
        </w:rPr>
      </w:pPr>
      <w:r w:rsidRPr="00CA286E">
        <w:rPr>
          <w:rFonts w:ascii="Times New Roman" w:hAnsi="Times New Roman"/>
          <w:sz w:val="24"/>
        </w:rPr>
        <w:t>Утвердить следующую форму Баланса буровых отходов: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CA286E" w:rsidRPr="00CA286E" w:rsidTr="00147040">
        <w:tc>
          <w:tcPr>
            <w:tcW w:w="10279" w:type="dxa"/>
          </w:tcPr>
          <w:p w:rsidR="00CA286E" w:rsidRPr="00CA286E" w:rsidRDefault="00CA286E" w:rsidP="00CA286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CA286E" w:rsidRPr="00CA286E" w:rsidRDefault="00CA286E" w:rsidP="00CA286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A286E">
              <w:rPr>
                <w:rFonts w:ascii="Times New Roman" w:hAnsi="Times New Roman"/>
                <w:b/>
                <w:sz w:val="24"/>
              </w:rPr>
              <w:t>Баланс Буровых отходов</w:t>
            </w:r>
          </w:p>
          <w:p w:rsidR="00CA286E" w:rsidRPr="00CA286E" w:rsidRDefault="00CA286E" w:rsidP="00CA286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A286E">
              <w:rPr>
                <w:rFonts w:ascii="Times New Roman" w:hAnsi="Times New Roman"/>
                <w:b/>
                <w:sz w:val="24"/>
              </w:rPr>
              <w:t xml:space="preserve">за отчетный период </w:t>
            </w:r>
            <w:proofErr w:type="gramStart"/>
            <w:r w:rsidRPr="00CA286E">
              <w:rPr>
                <w:rFonts w:ascii="Times New Roman" w:hAnsi="Times New Roman"/>
                <w:b/>
                <w:sz w:val="24"/>
              </w:rPr>
              <w:t>с</w:t>
            </w:r>
            <w:proofErr w:type="gramEnd"/>
            <w:r w:rsidRPr="00CA286E">
              <w:rPr>
                <w:rFonts w:ascii="Times New Roman" w:hAnsi="Times New Roman"/>
                <w:b/>
                <w:sz w:val="24"/>
              </w:rPr>
              <w:t>______________ по _______________________</w:t>
            </w:r>
          </w:p>
          <w:p w:rsidR="00CA286E" w:rsidRPr="00CA286E" w:rsidRDefault="00CA286E" w:rsidP="00CA286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W w:w="104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8"/>
              <w:gridCol w:w="5021"/>
              <w:gridCol w:w="1289"/>
              <w:gridCol w:w="1976"/>
              <w:gridCol w:w="1326"/>
            </w:tblGrid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  <w:vMerge w:val="restart"/>
                  <w:shd w:val="clear" w:color="auto" w:fill="auto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b/>
                      <w:sz w:val="24"/>
                    </w:rPr>
                    <w:t>№</w:t>
                  </w:r>
                </w:p>
              </w:tc>
              <w:tc>
                <w:tcPr>
                  <w:tcW w:w="5021" w:type="dxa"/>
                  <w:vMerge w:val="restart"/>
                  <w:shd w:val="clear" w:color="auto" w:fill="auto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b/>
                      <w:sz w:val="24"/>
                    </w:rPr>
                    <w:t>Показатель</w:t>
                  </w:r>
                </w:p>
              </w:tc>
              <w:tc>
                <w:tcPr>
                  <w:tcW w:w="4591" w:type="dxa"/>
                  <w:gridSpan w:val="3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Объем, м3</w:t>
                  </w:r>
                </w:p>
              </w:tc>
            </w:tr>
            <w:tr w:rsidR="00CA286E" w:rsidRPr="00CA286E" w:rsidTr="00147040">
              <w:trPr>
                <w:trHeight w:val="166"/>
              </w:trPr>
              <w:tc>
                <w:tcPr>
                  <w:tcW w:w="848" w:type="dxa"/>
                  <w:vMerge/>
                  <w:shd w:val="clear" w:color="auto" w:fill="auto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021" w:type="dxa"/>
                  <w:vMerge/>
                  <w:shd w:val="clear" w:color="auto" w:fill="auto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Буровой шлам</w:t>
                  </w: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Отработанный буровой раствор</w:t>
                  </w: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Всего</w:t>
                  </w:r>
                </w:p>
              </w:tc>
            </w:tr>
            <w:tr w:rsidR="00CA286E" w:rsidRPr="00CA286E" w:rsidTr="00147040">
              <w:trPr>
                <w:trHeight w:val="1370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lang w:val="en-US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  <w:lang w:val="en-US"/>
                    </w:rPr>
                    <w:t>1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Остаток </w:t>
                  </w:r>
                  <w:r w:rsidRPr="00CA286E">
                    <w:rPr>
                      <w:rFonts w:ascii="Times New Roman CYR" w:hAnsi="Times New Roman CYR" w:cs="Times New Roman CYR"/>
                      <w:sz w:val="24"/>
                    </w:rPr>
                    <w:t>Буровых отходов, не прошедших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 Переработку (Обработку) </w:t>
                  </w:r>
                  <w:r w:rsidRPr="00CA286E"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на начало отчетного периода </w:t>
                  </w:r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(определяется на основании данных Баланса Буровых отходов по предыдущему отчетному периоду)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, в </w:t>
                  </w:r>
                  <w:proofErr w:type="spellStart"/>
                  <w:r w:rsidRPr="00CA286E">
                    <w:rPr>
                      <w:rFonts w:ascii="Times New Roman" w:hAnsi="Times New Roman"/>
                      <w:sz w:val="24"/>
                    </w:rPr>
                    <w:t>т.ч</w:t>
                  </w:r>
                  <w:proofErr w:type="spellEnd"/>
                  <w:r w:rsidRPr="00CA286E">
                    <w:rPr>
                      <w:rFonts w:ascii="Times New Roman" w:hAnsi="Times New Roman"/>
                      <w:sz w:val="24"/>
                    </w:rPr>
                    <w:t>.: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269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lang w:val="en-US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  <w:lang w:val="en-US"/>
                    </w:rPr>
                    <w:t>1.1.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04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lang w:val="en-US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  <w:lang w:val="en-US"/>
                    </w:rPr>
                    <w:t>1.2.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590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Поступило в течение отчетного периода </w:t>
                  </w:r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(определяется по данным </w:t>
                  </w:r>
                  <w:proofErr w:type="gramStart"/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т-т</w:t>
                  </w:r>
                  <w:proofErr w:type="gramEnd"/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 накладных):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04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2.1.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right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right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565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Переработано за отчетный период </w:t>
                  </w:r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(см. п. 7.3 Договора)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: 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48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3.1.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3.2.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545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3.3.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Прочее выбытие </w:t>
                  </w:r>
                  <w:r w:rsidRPr="00CA286E">
                    <w:rPr>
                      <w:rFonts w:ascii="Times New Roman CYR" w:hAnsi="Times New Roman CYR" w:cs="Times New Roman CYR"/>
                      <w:sz w:val="24"/>
                    </w:rPr>
                    <w:t>Буровых отходов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 (испарение и т.д.)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13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3.3.1.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04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3.3.2.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912"/>
              </w:trPr>
              <w:tc>
                <w:tcPr>
                  <w:tcW w:w="848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  <w:tc>
                <w:tcPr>
                  <w:tcW w:w="5021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 xml:space="preserve">Остаток </w:t>
                  </w:r>
                  <w:r w:rsidRPr="00CA286E">
                    <w:rPr>
                      <w:rFonts w:ascii="Times New Roman CYR" w:hAnsi="Times New Roman CYR" w:cs="Times New Roman CYR"/>
                      <w:sz w:val="24"/>
                    </w:rPr>
                    <w:t>Буровых отходов, не прошедших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 xml:space="preserve"> Переработку (Обработку),  на конец отчетного периода </w:t>
                  </w:r>
                  <w:r w:rsidRPr="00CA286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(определяется по данным инвентаризации на дату составления настоящего Баланса Буровых отходов)</w:t>
                  </w:r>
                  <w:r w:rsidRPr="00CA286E">
                    <w:rPr>
                      <w:rFonts w:ascii="Times New Roman" w:hAnsi="Times New Roman"/>
                      <w:sz w:val="24"/>
                    </w:rPr>
                    <w:t>, в</w:t>
                  </w:r>
                  <w:proofErr w:type="gramStart"/>
                  <w:r w:rsidRPr="00CA286E">
                    <w:rPr>
                      <w:rFonts w:ascii="Times New Roman" w:hAnsi="Times New Roman"/>
                      <w:sz w:val="24"/>
                    </w:rPr>
                    <w:t xml:space="preserve"> .</w:t>
                  </w:r>
                  <w:proofErr w:type="spellStart"/>
                  <w:proofErr w:type="gramEnd"/>
                  <w:r w:rsidRPr="00CA286E">
                    <w:rPr>
                      <w:rFonts w:ascii="Times New Roman" w:hAnsi="Times New Roman"/>
                      <w:sz w:val="24"/>
                    </w:rPr>
                    <w:t>т.ч</w:t>
                  </w:r>
                  <w:proofErr w:type="spellEnd"/>
                  <w:r w:rsidRPr="00CA286E">
                    <w:rPr>
                      <w:rFonts w:ascii="Times New Roman" w:hAnsi="Times New Roman"/>
                      <w:sz w:val="24"/>
                    </w:rPr>
                    <w:t xml:space="preserve">.: </w:t>
                  </w:r>
                </w:p>
              </w:tc>
              <w:tc>
                <w:tcPr>
                  <w:tcW w:w="1289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257"/>
              </w:trPr>
              <w:tc>
                <w:tcPr>
                  <w:tcW w:w="848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4.1.</w:t>
                  </w:r>
                </w:p>
              </w:tc>
              <w:tc>
                <w:tcPr>
                  <w:tcW w:w="5021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за пределами лицензионного участка;</w:t>
                  </w:r>
                </w:p>
              </w:tc>
              <w:tc>
                <w:tcPr>
                  <w:tcW w:w="1289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A286E" w:rsidRPr="00CA286E" w:rsidTr="00147040">
              <w:trPr>
                <w:trHeight w:val="322"/>
              </w:trPr>
              <w:tc>
                <w:tcPr>
                  <w:tcW w:w="848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4.2.</w:t>
                  </w:r>
                </w:p>
              </w:tc>
              <w:tc>
                <w:tcPr>
                  <w:tcW w:w="5021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ind w:left="708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CA286E">
                    <w:rPr>
                      <w:rFonts w:ascii="Times New Roman" w:hAnsi="Times New Roman"/>
                      <w:sz w:val="24"/>
                    </w:rPr>
                    <w:t>- в пределах лицензионного участка;</w:t>
                  </w:r>
                </w:p>
              </w:tc>
              <w:tc>
                <w:tcPr>
                  <w:tcW w:w="1289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976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326" w:type="dxa"/>
                  <w:tcBorders>
                    <w:bottom w:val="single" w:sz="4" w:space="0" w:color="auto"/>
                  </w:tcBorders>
                </w:tcPr>
                <w:p w:rsidR="00CA286E" w:rsidRPr="00CA286E" w:rsidRDefault="00CA286E" w:rsidP="00CA286E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CA286E" w:rsidRPr="00CA286E" w:rsidRDefault="00CA286E" w:rsidP="00CA286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  <w:r w:rsidRPr="00CA286E">
        <w:rPr>
          <w:rFonts w:ascii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8A464" wp14:editId="6E378BE2">
                <wp:simplePos x="0" y="0"/>
                <wp:positionH relativeFrom="column">
                  <wp:posOffset>-53002</wp:posOffset>
                </wp:positionH>
                <wp:positionV relativeFrom="paragraph">
                  <wp:posOffset>19259</wp:posOffset>
                </wp:positionV>
                <wp:extent cx="5486365" cy="1880870"/>
                <wp:effectExtent l="0" t="0" r="19685" b="2413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365" cy="188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86E" w:rsidRDefault="00CA286E" w:rsidP="00CA286E">
                            <w:r>
                              <w:t>Подписи уполномоченных представителей:</w:t>
                            </w:r>
                          </w:p>
                          <w:p w:rsidR="00CA286E" w:rsidRDefault="00CA286E" w:rsidP="00CA286E"/>
                          <w:p w:rsidR="00CA286E" w:rsidRDefault="00CA286E" w:rsidP="00CA286E">
                            <w:r>
                              <w:t xml:space="preserve"> Подрядчик:</w:t>
                            </w:r>
                          </w:p>
                          <w:p w:rsidR="00CA286E" w:rsidRDefault="00CA286E" w:rsidP="00CA286E">
                            <w:r>
                              <w:t xml:space="preserve">______________ </w:t>
                            </w:r>
                          </w:p>
                          <w:p w:rsidR="00CA286E" w:rsidRDefault="00CA286E" w:rsidP="00CA286E"/>
                          <w:p w:rsidR="00CA286E" w:rsidRDefault="00CA286E" w:rsidP="00CA286E">
                            <w:r>
                              <w:t>Заказчик:</w:t>
                            </w:r>
                          </w:p>
                          <w:p w:rsidR="00CA286E" w:rsidRDefault="00CA286E" w:rsidP="00CA286E">
                            <w:r>
                              <w:t>______________</w:t>
                            </w:r>
                          </w:p>
                          <w:p w:rsidR="00CA286E" w:rsidRDefault="00CA286E" w:rsidP="00CA286E"/>
                          <w:p w:rsidR="00CA286E" w:rsidRDefault="00CA286E" w:rsidP="00CA286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СОГЛАСОВАНО:</w:t>
                            </w:r>
                          </w:p>
                          <w:p w:rsidR="00CA286E" w:rsidRDefault="00CA286E" w:rsidP="00CA286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Строительный контроль _____________________</w:t>
                            </w:r>
                          </w:p>
                          <w:p w:rsidR="00CA286E" w:rsidRDefault="00CA286E" w:rsidP="00CA286E"/>
                          <w:p w:rsidR="00CA286E" w:rsidRDefault="00CA286E" w:rsidP="00CA286E"/>
                          <w:p w:rsidR="00CA286E" w:rsidRDefault="00CA286E" w:rsidP="00CA286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СОГЛАСОВАНО:</w:t>
                            </w:r>
                          </w:p>
                          <w:p w:rsidR="00CA286E" w:rsidRDefault="00CA286E" w:rsidP="00CA286E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Супервайзер _____________________</w:t>
                            </w:r>
                          </w:p>
                          <w:p w:rsidR="00CA286E" w:rsidRDefault="00CA286E" w:rsidP="00CA28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4.15pt;margin-top:1.5pt;width:6in;height:14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">
                <v:textbox>
                  <w:txbxContent>
                    <w:p w:rsidR="00CA286E" w:rsidRDefault="00CA286E" w:rsidP="00CA286E">
                      <w:r>
                        <w:t>Подписи уполномоченных представителей:</w:t>
                      </w:r>
                    </w:p>
                    <w:p w:rsidR="00CA286E" w:rsidRDefault="00CA286E" w:rsidP="00CA286E"/>
                    <w:p w:rsidR="00CA286E" w:rsidRDefault="00CA286E" w:rsidP="00CA286E">
                      <w:r>
                        <w:t xml:space="preserve"> Подрядчик:</w:t>
                      </w:r>
                    </w:p>
                    <w:p w:rsidR="00CA286E" w:rsidRDefault="00CA286E" w:rsidP="00CA286E">
                      <w:r>
                        <w:t xml:space="preserve">______________ </w:t>
                      </w:r>
                    </w:p>
                    <w:p w:rsidR="00CA286E" w:rsidRDefault="00CA286E" w:rsidP="00CA286E"/>
                    <w:p w:rsidR="00CA286E" w:rsidRDefault="00CA286E" w:rsidP="00CA286E">
                      <w:r>
                        <w:t>Заказчик:</w:t>
                      </w:r>
                    </w:p>
                    <w:p w:rsidR="00CA286E" w:rsidRDefault="00CA286E" w:rsidP="00CA286E">
                      <w:r>
                        <w:t>______________</w:t>
                      </w:r>
                    </w:p>
                    <w:p w:rsidR="00CA286E" w:rsidRDefault="00CA286E" w:rsidP="00CA286E"/>
                    <w:p w:rsidR="00CA286E" w:rsidRDefault="00CA286E" w:rsidP="00CA286E">
                      <w:pPr>
                        <w:suppressAutoHyphens/>
                        <w:autoSpaceDE w:val="0"/>
                        <w:autoSpaceDN w:val="0"/>
                        <w:adjustRightInd w:val="0"/>
                      </w:pPr>
                      <w:r>
                        <w:t>СОГЛАСОВАНО:</w:t>
                      </w:r>
                    </w:p>
                    <w:p w:rsidR="00CA286E" w:rsidRDefault="00CA286E" w:rsidP="00CA286E">
                      <w:pPr>
                        <w:suppressAutoHyphens/>
                        <w:autoSpaceDE w:val="0"/>
                        <w:autoSpaceDN w:val="0"/>
                        <w:adjustRightInd w:val="0"/>
                      </w:pPr>
                      <w:r>
                        <w:t>Строительный контроль _____________________</w:t>
                      </w:r>
                    </w:p>
                    <w:p w:rsidR="00CA286E" w:rsidRDefault="00CA286E" w:rsidP="00CA286E"/>
                    <w:p w:rsidR="00CA286E" w:rsidRDefault="00CA286E" w:rsidP="00CA286E"/>
                    <w:p w:rsidR="00CA286E" w:rsidRDefault="00CA286E" w:rsidP="00CA286E">
                      <w:pPr>
                        <w:suppressAutoHyphens/>
                        <w:autoSpaceDE w:val="0"/>
                        <w:autoSpaceDN w:val="0"/>
                        <w:adjustRightInd w:val="0"/>
                      </w:pPr>
                      <w:r>
                        <w:t>СОГЛАСОВАНО:</w:t>
                      </w:r>
                    </w:p>
                    <w:p w:rsidR="00CA286E" w:rsidRDefault="00CA286E" w:rsidP="00CA286E">
                      <w:pPr>
                        <w:suppressAutoHyphens/>
                        <w:autoSpaceDE w:val="0"/>
                        <w:autoSpaceDN w:val="0"/>
                        <w:adjustRightInd w:val="0"/>
                      </w:pPr>
                      <w:r>
                        <w:t>Супервайзер _____________________</w:t>
                      </w:r>
                    </w:p>
                    <w:p w:rsidR="00CA286E" w:rsidRDefault="00CA286E" w:rsidP="00CA286E"/>
                  </w:txbxContent>
                </v:textbox>
              </v:shape>
            </w:pict>
          </mc:Fallback>
        </mc:AlternateContent>
      </w: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jc w:val="both"/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rPr>
          <w:rFonts w:ascii="Times New Roman" w:hAnsi="Times New Roman"/>
          <w:sz w:val="24"/>
        </w:rPr>
      </w:pPr>
    </w:p>
    <w:p w:rsidR="00CA286E" w:rsidRPr="00CA286E" w:rsidRDefault="00CA286E" w:rsidP="00CA286E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CA286E">
        <w:rPr>
          <w:rFonts w:ascii="Times New Roman" w:hAnsi="Times New Roman"/>
          <w:b/>
          <w:sz w:val="24"/>
        </w:rPr>
        <w:t>Согласованно в качестве формы</w:t>
      </w:r>
    </w:p>
    <w:p w:rsidR="00CA286E" w:rsidRPr="00CA286E" w:rsidRDefault="00CA286E" w:rsidP="00CA286E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CA286E" w:rsidRPr="00CA286E" w:rsidRDefault="00CA286E" w:rsidP="00CA286E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CA286E" w:rsidRPr="00CA286E" w:rsidRDefault="00CA286E" w:rsidP="00CA286E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CA286E" w:rsidRPr="00CA286E" w:rsidRDefault="00CA286E" w:rsidP="00CA286E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2D6FEC" w:rsidRPr="00CA286E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CA286E">
        <w:rPr>
          <w:rFonts w:ascii="Times New Roman" w:hAnsi="Times New Roman"/>
          <w:b/>
          <w:bCs/>
          <w:sz w:val="24"/>
        </w:rPr>
        <w:t>Подрядчик</w:t>
      </w:r>
      <w:r>
        <w:rPr>
          <w:rFonts w:ascii="Times New Roman" w:hAnsi="Times New Roman"/>
          <w:b/>
          <w:bCs/>
          <w:sz w:val="24"/>
        </w:rPr>
        <w:tab/>
        <w:t xml:space="preserve">                                                      </w:t>
      </w:r>
      <w:r w:rsidRPr="00CA286E">
        <w:rPr>
          <w:rFonts w:ascii="Times New Roman" w:hAnsi="Times New Roman"/>
          <w:b/>
          <w:bCs/>
          <w:sz w:val="24"/>
        </w:rPr>
        <w:t>Заказчик</w:t>
      </w:r>
    </w:p>
    <w:p w:rsidR="002E7170" w:rsidRDefault="003B1684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</w:t>
      </w:r>
      <w:r w:rsidR="002D6FEC">
        <w:rPr>
          <w:rFonts w:ascii="Times New Roman" w:hAnsi="Times New Roman"/>
          <w:b/>
          <w:bCs/>
          <w:sz w:val="24"/>
        </w:rPr>
        <w:t xml:space="preserve">                                             </w:t>
      </w:r>
      <w:r w:rsidR="002E7170">
        <w:rPr>
          <w:rFonts w:ascii="Times New Roman" w:hAnsi="Times New Roman"/>
          <w:b/>
          <w:bCs/>
          <w:sz w:val="24"/>
        </w:rPr>
        <w:t xml:space="preserve">       </w:t>
      </w:r>
      <w:r w:rsidR="002E7170" w:rsidRPr="00CA286E">
        <w:rPr>
          <w:rFonts w:ascii="Times New Roman" w:hAnsi="Times New Roman"/>
          <w:b/>
          <w:bCs/>
          <w:sz w:val="24"/>
        </w:rPr>
        <w:t>ОАО «СН-МНГ</w:t>
      </w:r>
      <w:r w:rsidR="004A2319">
        <w:rPr>
          <w:rFonts w:ascii="Times New Roman" w:hAnsi="Times New Roman"/>
          <w:b/>
          <w:bCs/>
          <w:sz w:val="24"/>
        </w:rPr>
        <w:t>»</w:t>
      </w:r>
    </w:p>
    <w:p w:rsidR="002D6FEC" w:rsidRPr="00CA286E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  <w:r w:rsidRPr="002D6FEC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</w:t>
      </w:r>
      <w:r w:rsidR="002E7170">
        <w:rPr>
          <w:rFonts w:ascii="Times New Roman" w:hAnsi="Times New Roman"/>
          <w:b/>
          <w:bCs/>
          <w:sz w:val="24"/>
        </w:rPr>
        <w:t xml:space="preserve">                        </w:t>
      </w:r>
    </w:p>
    <w:p w:rsidR="002D6FEC" w:rsidRPr="00CA286E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D6FEC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D6FEC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</w:p>
    <w:p w:rsidR="002D6FEC" w:rsidRPr="00CA222C" w:rsidRDefault="002D6FEC" w:rsidP="002D6FEC">
      <w:pPr>
        <w:keepNext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</w:t>
      </w:r>
      <w:r w:rsidR="003B1684">
        <w:rPr>
          <w:rFonts w:ascii="Times New Roman" w:hAnsi="Times New Roman"/>
          <w:b/>
          <w:bCs/>
          <w:sz w:val="24"/>
        </w:rPr>
        <w:t>(ФИО)</w:t>
      </w:r>
      <w:r w:rsidR="002E7170">
        <w:rPr>
          <w:rFonts w:ascii="Times New Roman" w:hAnsi="Times New Roman"/>
          <w:b/>
          <w:bCs/>
          <w:sz w:val="24"/>
        </w:rPr>
        <w:t xml:space="preserve">    </w:t>
      </w:r>
      <w:r>
        <w:rPr>
          <w:rFonts w:ascii="Times New Roman" w:hAnsi="Times New Roman"/>
          <w:b/>
          <w:bCs/>
          <w:sz w:val="24"/>
        </w:rPr>
        <w:t xml:space="preserve">           </w:t>
      </w:r>
      <w:r w:rsidR="003B1684">
        <w:rPr>
          <w:rFonts w:ascii="Times New Roman" w:hAnsi="Times New Roman"/>
          <w:b/>
          <w:bCs/>
          <w:sz w:val="24"/>
        </w:rPr>
        <w:t xml:space="preserve">          </w:t>
      </w:r>
      <w:r w:rsidRPr="00CA222C">
        <w:rPr>
          <w:rFonts w:ascii="Times New Roman" w:hAnsi="Times New Roman"/>
          <w:b/>
          <w:bCs/>
          <w:sz w:val="24"/>
        </w:rPr>
        <w:t>__________________</w:t>
      </w:r>
      <w:r w:rsidR="003B1684">
        <w:rPr>
          <w:rFonts w:ascii="Times New Roman" w:hAnsi="Times New Roman"/>
          <w:b/>
          <w:bCs/>
          <w:sz w:val="24"/>
        </w:rPr>
        <w:t>(ФИО)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</w:t>
      </w:r>
    </w:p>
    <w:p w:rsidR="002D6FEC" w:rsidRDefault="002D6FEC" w:rsidP="002D6FEC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</w:t>
      </w:r>
    </w:p>
    <w:p w:rsidR="002D6FEC" w:rsidRDefault="002D6FEC" w:rsidP="002D6FEC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</w:t>
      </w:r>
    </w:p>
    <w:p w:rsidR="002D6FEC" w:rsidRDefault="002D6FEC" w:rsidP="002D6FEC"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</w:t>
      </w:r>
    </w:p>
    <w:p w:rsidR="002D6FEC" w:rsidRPr="00CA286E" w:rsidRDefault="002D6FEC" w:rsidP="002D6FEC">
      <w:pPr>
        <w:keepNext/>
        <w:tabs>
          <w:tab w:val="left" w:pos="5602"/>
        </w:tabs>
        <w:outlineLvl w:val="0"/>
        <w:rPr>
          <w:rFonts w:ascii="Times New Roman" w:hAnsi="Times New Roman"/>
          <w:b/>
          <w:bCs/>
          <w:sz w:val="24"/>
        </w:rPr>
      </w:pPr>
    </w:p>
    <w:p w:rsidR="00B62185" w:rsidRDefault="00B62185" w:rsidP="002D6FEC">
      <w:pPr>
        <w:keepNext/>
        <w:outlineLvl w:val="0"/>
      </w:pPr>
    </w:p>
    <w:sectPr w:rsidR="00B62185" w:rsidSect="00EF7B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775" w:rsidRDefault="007F3775" w:rsidP="002D6FEC">
      <w:r>
        <w:separator/>
      </w:r>
    </w:p>
  </w:endnote>
  <w:endnote w:type="continuationSeparator" w:id="0">
    <w:p w:rsidR="007F3775" w:rsidRDefault="007F3775" w:rsidP="002D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775" w:rsidRDefault="007F3775" w:rsidP="002D6FEC">
      <w:r>
        <w:separator/>
      </w:r>
    </w:p>
  </w:footnote>
  <w:footnote w:type="continuationSeparator" w:id="0">
    <w:p w:rsidR="007F3775" w:rsidRDefault="007F3775" w:rsidP="002D6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54"/>
    <w:rsid w:val="00125A22"/>
    <w:rsid w:val="002D6FEC"/>
    <w:rsid w:val="002E7170"/>
    <w:rsid w:val="0030316A"/>
    <w:rsid w:val="003B1684"/>
    <w:rsid w:val="004134FA"/>
    <w:rsid w:val="00495676"/>
    <w:rsid w:val="004A2319"/>
    <w:rsid w:val="006F6AD0"/>
    <w:rsid w:val="007F3775"/>
    <w:rsid w:val="008747D2"/>
    <w:rsid w:val="009471A4"/>
    <w:rsid w:val="009869F9"/>
    <w:rsid w:val="00B62185"/>
    <w:rsid w:val="00CA286E"/>
    <w:rsid w:val="00CD2473"/>
    <w:rsid w:val="00D32C54"/>
    <w:rsid w:val="00E46DAC"/>
    <w:rsid w:val="00EF7BDE"/>
    <w:rsid w:val="00F747EF"/>
    <w:rsid w:val="00FD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A286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6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2D6FEC"/>
    <w:rPr>
      <w:rFonts w:ascii="Arial" w:hAnsi="Arial"/>
      <w:sz w:val="22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D6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D6FEC"/>
    <w:rPr>
      <w:rFonts w:ascii="Arial" w:hAnsi="Arial"/>
      <w:sz w:val="2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CA286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6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2D6FEC"/>
    <w:rPr>
      <w:rFonts w:ascii="Arial" w:hAnsi="Arial"/>
      <w:sz w:val="22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D6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D6FEC"/>
    <w:rPr>
      <w:rFonts w:ascii="Arial" w:hAnsi="Arial"/>
      <w:sz w:val="2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Евгений Александрович Букетов</cp:lastModifiedBy>
  <cp:revision>12</cp:revision>
  <dcterms:created xsi:type="dcterms:W3CDTF">2014-08-04T12:27:00Z</dcterms:created>
  <dcterms:modified xsi:type="dcterms:W3CDTF">2016-03-25T06:18:00Z</dcterms:modified>
</cp:coreProperties>
</file>