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>**** В случае, если удельный вес затрат по статье материалы составляет 10% и более 10%,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материалов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>по форме</w:t>
      </w:r>
      <w:r w:rsidR="00B25E08" w:rsidRPr="00B25E08">
        <w:rPr>
          <w:b w:val="0"/>
          <w:sz w:val="24"/>
          <w:lang w:val="ru-RU"/>
        </w:rPr>
        <w:t>,</w:t>
      </w:r>
      <w:r w:rsidRPr="00B25E08">
        <w:rPr>
          <w:b w:val="0"/>
          <w:sz w:val="24"/>
          <w:lang w:val="ru-RU"/>
        </w:rPr>
        <w:t xml:space="preserve">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45759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63</cp:revision>
  <cp:lastPrinted>2015-04-15T02:58:00Z</cp:lastPrinted>
  <dcterms:created xsi:type="dcterms:W3CDTF">2014-07-22T02:24:00Z</dcterms:created>
  <dcterms:modified xsi:type="dcterms:W3CDTF">2015-07-29T04:41:00Z</dcterms:modified>
</cp:coreProperties>
</file>