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w:t>
      </w:r>
      <w:r w:rsidR="00A77C25">
        <w:rPr>
          <w:rFonts w:ascii="Times New Roman" w:hAnsi="Times New Roman"/>
          <w:sz w:val="24"/>
        </w:rPr>
        <w:t xml:space="preserve"> </w:t>
      </w:r>
      <w:r w:rsidR="00A77C25" w:rsidRPr="00A77C25">
        <w:rPr>
          <w:rFonts w:ascii="Times New Roman" w:hAnsi="Times New Roman"/>
          <w:sz w:val="24"/>
        </w:rPr>
        <w:t>Автомобильная дорога на кустовую площадку №10</w:t>
      </w:r>
      <w:proofErr w:type="gramStart"/>
      <w:r w:rsidR="00A77C25" w:rsidRPr="00A77C25">
        <w:rPr>
          <w:rFonts w:ascii="Times New Roman" w:hAnsi="Times New Roman"/>
          <w:sz w:val="24"/>
        </w:rPr>
        <w:t xml:space="preserve"> И</w:t>
      </w:r>
      <w:proofErr w:type="gramEnd"/>
      <w:r w:rsidR="00A77C25" w:rsidRPr="00A77C25">
        <w:rPr>
          <w:rFonts w:ascii="Times New Roman" w:hAnsi="Times New Roman"/>
          <w:sz w:val="24"/>
        </w:rPr>
        <w:t>нв.№920000003871</w:t>
      </w:r>
      <w:r w:rsidR="00A77C25">
        <w:rPr>
          <w:rFonts w:ascii="Times New Roman" w:hAnsi="Times New Roman"/>
          <w:sz w:val="24"/>
        </w:rPr>
        <w:t xml:space="preserve">; </w:t>
      </w:r>
      <w:r w:rsidR="00A77C25" w:rsidRPr="00A77C25">
        <w:rPr>
          <w:rFonts w:ascii="Times New Roman" w:hAnsi="Times New Roman"/>
          <w:sz w:val="24"/>
        </w:rPr>
        <w:t>Автомобильная дорога на кустовую площадку №9 Инв.№920000003870</w:t>
      </w:r>
      <w:r w:rsidR="00A77C25">
        <w:rPr>
          <w:rFonts w:ascii="Times New Roman" w:hAnsi="Times New Roman"/>
          <w:sz w:val="24"/>
        </w:rPr>
        <w:t xml:space="preserve">; </w:t>
      </w:r>
      <w:r w:rsidR="00A77C25" w:rsidRPr="00A77C25">
        <w:rPr>
          <w:rFonts w:ascii="Times New Roman" w:hAnsi="Times New Roman"/>
          <w:sz w:val="24"/>
        </w:rPr>
        <w:t>Автомобильная дорога грунтовая на куст скважин 2 Инв.№920000000043</w:t>
      </w:r>
      <w:r w:rsidR="00A77C25">
        <w:rPr>
          <w:rFonts w:ascii="Times New Roman" w:hAnsi="Times New Roman"/>
          <w:sz w:val="24"/>
        </w:rPr>
        <w:t xml:space="preserve">; </w:t>
      </w:r>
      <w:r w:rsidR="00A77C25" w:rsidRPr="00A77C25">
        <w:rPr>
          <w:rFonts w:ascii="Times New Roman" w:hAnsi="Times New Roman"/>
          <w:sz w:val="24"/>
        </w:rPr>
        <w:t>Автомобильная дорога точка примыкания куст № 20 Инв.№920000002914</w:t>
      </w:r>
      <w:r w:rsidR="00A77C25">
        <w:rPr>
          <w:rFonts w:ascii="Times New Roman" w:hAnsi="Times New Roman"/>
          <w:sz w:val="24"/>
        </w:rPr>
        <w:t xml:space="preserve">; </w:t>
      </w:r>
      <w:r w:rsidR="00A77C25" w:rsidRPr="00A77C25">
        <w:rPr>
          <w:rFonts w:ascii="Times New Roman" w:hAnsi="Times New Roman"/>
          <w:sz w:val="24"/>
        </w:rPr>
        <w:t xml:space="preserve">Автомобильная дорога река </w:t>
      </w:r>
      <w:proofErr w:type="spellStart"/>
      <w:r w:rsidR="00A77C25" w:rsidRPr="00A77C25">
        <w:rPr>
          <w:rFonts w:ascii="Times New Roman" w:hAnsi="Times New Roman"/>
          <w:sz w:val="24"/>
        </w:rPr>
        <w:t>Вах</w:t>
      </w:r>
      <w:proofErr w:type="spellEnd"/>
      <w:r w:rsidR="00A77C25" w:rsidRPr="00A77C25">
        <w:rPr>
          <w:rFonts w:ascii="Times New Roman" w:hAnsi="Times New Roman"/>
          <w:sz w:val="24"/>
        </w:rPr>
        <w:t xml:space="preserve">-поселок </w:t>
      </w:r>
      <w:proofErr w:type="spellStart"/>
      <w:r w:rsidR="00A77C25" w:rsidRPr="00A77C25">
        <w:rPr>
          <w:rFonts w:ascii="Times New Roman" w:hAnsi="Times New Roman"/>
          <w:sz w:val="24"/>
        </w:rPr>
        <w:t>Ваховск</w:t>
      </w:r>
      <w:proofErr w:type="spellEnd"/>
      <w:r w:rsidR="00A77C25" w:rsidRPr="00A77C25">
        <w:rPr>
          <w:rFonts w:ascii="Times New Roman" w:hAnsi="Times New Roman"/>
          <w:sz w:val="24"/>
        </w:rPr>
        <w:t xml:space="preserve"> Инв.№920000000044</w:t>
      </w:r>
      <w:r w:rsidR="00A77C25">
        <w:rPr>
          <w:rFonts w:ascii="Times New Roman" w:hAnsi="Times New Roman"/>
          <w:sz w:val="24"/>
        </w:rPr>
        <w:t>.</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r w:rsidR="00A77C25" w:rsidRPr="00A77C25">
        <w:rPr>
          <w:rFonts w:ascii="Times New Roman" w:hAnsi="Times New Roman"/>
          <w:sz w:val="24"/>
        </w:rPr>
        <w:t>Западно-</w:t>
      </w:r>
      <w:proofErr w:type="spellStart"/>
      <w:r w:rsidR="00A77C25" w:rsidRPr="00A77C25">
        <w:rPr>
          <w:rFonts w:ascii="Times New Roman" w:hAnsi="Times New Roman"/>
          <w:sz w:val="24"/>
        </w:rPr>
        <w:t>Аригольское</w:t>
      </w:r>
      <w:proofErr w:type="spellEnd"/>
      <w:r w:rsidR="00A77C25">
        <w:rPr>
          <w:rFonts w:ascii="Times New Roman" w:hAnsi="Times New Roman"/>
          <w:sz w:val="24"/>
        </w:rPr>
        <w:t xml:space="preserve"> </w:t>
      </w:r>
      <w:r w:rsidR="007B74DD" w:rsidRPr="007B74DD">
        <w:rPr>
          <w:rFonts w:ascii="Times New Roman" w:hAnsi="Times New Roman"/>
          <w:sz w:val="24"/>
        </w:rPr>
        <w:t>месторождение нефти.</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w:t>
      </w:r>
      <w:r w:rsidRPr="00AD418E">
        <w:rPr>
          <w:rFonts w:ascii="Times New Roman" w:hAnsi="Times New Roman"/>
          <w:sz w:val="24"/>
        </w:rPr>
        <w:lastRenderedPageBreak/>
        <w:t xml:space="preserve">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w:t>
      </w:r>
      <w:r w:rsidRPr="00AD418E">
        <w:rPr>
          <w:rFonts w:ascii="Times New Roman" w:hAnsi="Times New Roman"/>
          <w:sz w:val="24"/>
          <w:highlight w:val="lightGray"/>
        </w:rPr>
        <w:lastRenderedPageBreak/>
        <w:t>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233DA7"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A77C25" w:rsidRPr="00A77C25">
        <w:rPr>
          <w:rFonts w:ascii="Times New Roman" w:hAnsi="Times New Roman"/>
          <w:sz w:val="24"/>
        </w:rPr>
        <w:t>Автомобильная дорога на кустовую площадку №10</w:t>
      </w:r>
      <w:proofErr w:type="gramStart"/>
      <w:r w:rsidR="00A77C25" w:rsidRPr="00A77C25">
        <w:rPr>
          <w:rFonts w:ascii="Times New Roman" w:hAnsi="Times New Roman"/>
          <w:sz w:val="24"/>
        </w:rPr>
        <w:t xml:space="preserve"> И</w:t>
      </w:r>
      <w:proofErr w:type="gramEnd"/>
      <w:r w:rsidR="00A77C25" w:rsidRPr="00A77C25">
        <w:rPr>
          <w:rFonts w:ascii="Times New Roman" w:hAnsi="Times New Roman"/>
          <w:sz w:val="24"/>
        </w:rPr>
        <w:t>нв.№920000003871</w:t>
      </w:r>
      <w:r w:rsidR="00A77C25">
        <w:rPr>
          <w:rFonts w:ascii="Times New Roman" w:hAnsi="Times New Roman"/>
          <w:sz w:val="24"/>
        </w:rPr>
        <w:t xml:space="preserve">; </w:t>
      </w:r>
      <w:r w:rsidR="00A77C25" w:rsidRPr="00A77C25">
        <w:rPr>
          <w:rFonts w:ascii="Times New Roman" w:hAnsi="Times New Roman"/>
          <w:sz w:val="24"/>
        </w:rPr>
        <w:t>Автомобильная дорога на кустовую площадку №9 Инв.№920000003870</w:t>
      </w:r>
      <w:r w:rsidR="00A77C25">
        <w:rPr>
          <w:rFonts w:ascii="Times New Roman" w:hAnsi="Times New Roman"/>
          <w:sz w:val="24"/>
        </w:rPr>
        <w:t xml:space="preserve">; </w:t>
      </w:r>
      <w:r w:rsidR="00A77C25" w:rsidRPr="00A77C25">
        <w:rPr>
          <w:rFonts w:ascii="Times New Roman" w:hAnsi="Times New Roman"/>
          <w:sz w:val="24"/>
        </w:rPr>
        <w:t>Автомобильная дорога грунтовая на куст скважин 2 Инв.№920000000043</w:t>
      </w:r>
      <w:r w:rsidR="00A77C25">
        <w:rPr>
          <w:rFonts w:ascii="Times New Roman" w:hAnsi="Times New Roman"/>
          <w:sz w:val="24"/>
        </w:rPr>
        <w:t xml:space="preserve">; </w:t>
      </w:r>
      <w:r w:rsidR="00A77C25" w:rsidRPr="00A77C25">
        <w:rPr>
          <w:rFonts w:ascii="Times New Roman" w:hAnsi="Times New Roman"/>
          <w:sz w:val="24"/>
        </w:rPr>
        <w:t>Автомобильная дорога точка примыкания куст № 20 Инв.№920000002914</w:t>
      </w:r>
      <w:r w:rsidR="00A77C25">
        <w:rPr>
          <w:rFonts w:ascii="Times New Roman" w:hAnsi="Times New Roman"/>
          <w:sz w:val="24"/>
        </w:rPr>
        <w:t xml:space="preserve">; </w:t>
      </w:r>
      <w:r w:rsidR="00A77C25" w:rsidRPr="00A77C25">
        <w:rPr>
          <w:rFonts w:ascii="Times New Roman" w:hAnsi="Times New Roman"/>
          <w:sz w:val="24"/>
        </w:rPr>
        <w:t xml:space="preserve">Автомобильная дорога река </w:t>
      </w:r>
      <w:proofErr w:type="spellStart"/>
      <w:r w:rsidR="00A77C25" w:rsidRPr="00A77C25">
        <w:rPr>
          <w:rFonts w:ascii="Times New Roman" w:hAnsi="Times New Roman"/>
          <w:sz w:val="24"/>
        </w:rPr>
        <w:t>Вах</w:t>
      </w:r>
      <w:proofErr w:type="spellEnd"/>
      <w:r w:rsidR="00A77C25" w:rsidRPr="00A77C25">
        <w:rPr>
          <w:rFonts w:ascii="Times New Roman" w:hAnsi="Times New Roman"/>
          <w:sz w:val="24"/>
        </w:rPr>
        <w:t xml:space="preserve">-поселок </w:t>
      </w:r>
      <w:proofErr w:type="spellStart"/>
      <w:r w:rsidR="00A77C25" w:rsidRPr="00A77C25">
        <w:rPr>
          <w:rFonts w:ascii="Times New Roman" w:hAnsi="Times New Roman"/>
          <w:sz w:val="24"/>
        </w:rPr>
        <w:t>Ваховск</w:t>
      </w:r>
      <w:proofErr w:type="spellEnd"/>
      <w:r w:rsidR="00A77C25" w:rsidRPr="00A77C25">
        <w:rPr>
          <w:rFonts w:ascii="Times New Roman" w:hAnsi="Times New Roman"/>
          <w:sz w:val="24"/>
        </w:rPr>
        <w:t xml:space="preserve"> Инв.№920000000044</w:t>
      </w:r>
      <w:r w:rsidR="00233DA7">
        <w:rPr>
          <w:rFonts w:ascii="Times New Roman" w:hAnsi="Times New Roman"/>
          <w:sz w:val="24"/>
        </w:rPr>
        <w:t xml:space="preserve">, в составе стройки: </w:t>
      </w:r>
      <w:r w:rsidR="00A77C25">
        <w:rPr>
          <w:rFonts w:ascii="Times New Roman" w:hAnsi="Times New Roman"/>
          <w:sz w:val="24"/>
        </w:rPr>
        <w:t>Западно-</w:t>
      </w:r>
      <w:proofErr w:type="spellStart"/>
      <w:r w:rsidR="00A77C25">
        <w:rPr>
          <w:rFonts w:ascii="Times New Roman" w:hAnsi="Times New Roman"/>
          <w:sz w:val="24"/>
        </w:rPr>
        <w:t>Аригольское</w:t>
      </w:r>
      <w:proofErr w:type="spellEnd"/>
      <w:r w:rsidR="00A77C25">
        <w:rPr>
          <w:rFonts w:ascii="Times New Roman" w:hAnsi="Times New Roman"/>
          <w:sz w:val="24"/>
        </w:rPr>
        <w:t xml:space="preserve"> </w:t>
      </w:r>
      <w:r w:rsidR="00233DA7">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w:t>
      </w:r>
      <w:r w:rsidRPr="00AD418E">
        <w:rPr>
          <w:rFonts w:ascii="Times New Roman" w:hAnsi="Times New Roman"/>
          <w:sz w:val="24"/>
        </w:rPr>
        <w:lastRenderedPageBreak/>
        <w:t>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№___), «Расчете договорной цены» (Приложение №___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301A60">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00301A60">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 xml:space="preserve">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w:t>
      </w:r>
      <w:r w:rsidRPr="00AD418E">
        <w:rPr>
          <w:rFonts w:ascii="Times New Roman" w:hAnsi="Times New Roman"/>
          <w:sz w:val="24"/>
          <w:lang w:eastAsia="en-US"/>
        </w:rPr>
        <w:lastRenderedPageBreak/>
        <w:t>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w:t>
      </w:r>
      <w:r w:rsidRPr="00AD418E">
        <w:rPr>
          <w:rFonts w:ascii="Times New Roman" w:hAnsi="Times New Roman"/>
          <w:sz w:val="24"/>
        </w:rPr>
        <w:lastRenderedPageBreak/>
        <w:t>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w:t>
      </w:r>
      <w:r w:rsidRPr="00AD418E">
        <w:rPr>
          <w:rFonts w:ascii="Times New Roman" w:hAnsi="Times New Roman"/>
          <w:sz w:val="24"/>
        </w:rPr>
        <w:lastRenderedPageBreak/>
        <w:t>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w:t>
      </w:r>
      <w:r w:rsidRPr="00AD418E">
        <w:rPr>
          <w:rFonts w:ascii="Times New Roman" w:hAnsi="Times New Roman"/>
          <w:sz w:val="24"/>
        </w:rPr>
        <w:lastRenderedPageBreak/>
        <w:t>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w:t>
      </w:r>
      <w:r w:rsidRPr="00AD418E">
        <w:rPr>
          <w:rFonts w:ascii="Times New Roman" w:hAnsi="Times New Roman"/>
          <w:sz w:val="24"/>
        </w:rPr>
        <w:lastRenderedPageBreak/>
        <w:t>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w:t>
      </w:r>
      <w:r w:rsidRPr="00AD418E">
        <w:rPr>
          <w:rFonts w:ascii="Times New Roman" w:hAnsi="Times New Roman"/>
          <w:bCs/>
          <w:snapToGrid w:val="0"/>
          <w:color w:val="000000"/>
          <w:sz w:val="24"/>
        </w:rPr>
        <w:lastRenderedPageBreak/>
        <w:t>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lastRenderedPageBreak/>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w:t>
      </w:r>
      <w:r w:rsidRPr="00AD418E">
        <w:rPr>
          <w:rFonts w:ascii="Times New Roman" w:hAnsi="Times New Roman"/>
          <w:sz w:val="24"/>
          <w:highlight w:val="lightGray"/>
        </w:rPr>
        <w:lastRenderedPageBreak/>
        <w:t>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5.2.13. Организовывает работу приёмочной комиссии по приёмке объекта в эксплуатацию, в </w:t>
      </w:r>
      <w:r w:rsidRPr="00AD418E">
        <w:rPr>
          <w:rFonts w:ascii="Times New Roman" w:hAnsi="Times New Roman"/>
          <w:sz w:val="24"/>
        </w:rPr>
        <w:lastRenderedPageBreak/>
        <w:t>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w:t>
      </w:r>
      <w:r w:rsidRPr="00AD418E">
        <w:rPr>
          <w:rFonts w:ascii="Times New Roman" w:hAnsi="Times New Roman"/>
          <w:sz w:val="24"/>
        </w:rPr>
        <w:lastRenderedPageBreak/>
        <w:t xml:space="preserve">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w:t>
      </w:r>
      <w:r w:rsidRPr="00AD418E">
        <w:rPr>
          <w:rFonts w:ascii="Times New Roman" w:hAnsi="Times New Roman"/>
          <w:sz w:val="24"/>
        </w:rPr>
        <w:lastRenderedPageBreak/>
        <w:t>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w:t>
      </w:r>
      <w:r w:rsidRPr="00AD418E">
        <w:rPr>
          <w:rFonts w:ascii="Times New Roman" w:hAnsi="Times New Roman"/>
          <w:sz w:val="24"/>
        </w:rPr>
        <w:lastRenderedPageBreak/>
        <w:t>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w:t>
      </w:r>
      <w:r w:rsidRPr="00AD418E">
        <w:rPr>
          <w:rFonts w:ascii="Times New Roman" w:hAnsi="Times New Roman"/>
          <w:sz w:val="24"/>
        </w:rPr>
        <w:lastRenderedPageBreak/>
        <w:t>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 xml:space="preserve">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w:t>
      </w:r>
      <w:r w:rsidRPr="00AD418E">
        <w:rPr>
          <w:rFonts w:ascii="Times New Roman" w:hAnsi="Times New Roman"/>
          <w:sz w:val="24"/>
        </w:rPr>
        <w:lastRenderedPageBreak/>
        <w:t>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Установление факта нахождения работников Подрядчика имеющих незаполненные путевые </w:t>
      </w:r>
      <w:r w:rsidRPr="00AD418E">
        <w:rPr>
          <w:rFonts w:ascii="Times New Roman" w:hAnsi="Times New Roman"/>
          <w:sz w:val="24"/>
        </w:rPr>
        <w:lastRenderedPageBreak/>
        <w:t>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w:t>
      </w:r>
      <w:r w:rsidRPr="00AD418E">
        <w:rPr>
          <w:rFonts w:ascii="Times New Roman" w:hAnsi="Times New Roman"/>
          <w:bCs/>
          <w:snapToGrid w:val="0"/>
          <w:color w:val="000000"/>
          <w:sz w:val="24"/>
        </w:rPr>
        <w:lastRenderedPageBreak/>
        <w:t xml:space="preserve">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lastRenderedPageBreak/>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 xml:space="preserve">В случае  несвоевременного представления первичных документов, предусмотренных </w:t>
      </w:r>
      <w:r w:rsidRPr="00AD418E">
        <w:rPr>
          <w:rFonts w:ascii="Times New Roman" w:hAnsi="Times New Roman"/>
          <w:sz w:val="24"/>
        </w:rPr>
        <w:lastRenderedPageBreak/>
        <w:t>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lastRenderedPageBreak/>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D418E">
        <w:rPr>
          <w:rFonts w:ascii="Times New Roman" w:hAnsi="Times New Roman"/>
          <w:sz w:val="24"/>
        </w:rPr>
        <w:t>Изложенное</w:t>
      </w:r>
      <w:proofErr w:type="gramEnd"/>
      <w:r w:rsidRPr="00AD418E">
        <w:rPr>
          <w:rFonts w:ascii="Times New Roman" w:hAnsi="Times New Roman"/>
          <w:sz w:val="24"/>
        </w:rPr>
        <w:t xml:space="preserve">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12.1. </w:t>
      </w:r>
      <w:proofErr w:type="gramStart"/>
      <w:r w:rsidRPr="00AD418E">
        <w:rPr>
          <w:rFonts w:ascii="Times New Roman" w:hAnsi="Times New Roman"/>
          <w:sz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12.2. </w:t>
      </w:r>
      <w:proofErr w:type="gramStart"/>
      <w:r w:rsidRPr="00AD418E">
        <w:rPr>
          <w:rFonts w:ascii="Times New Roman" w:hAnsi="Times New Roman"/>
          <w:sz w:val="24"/>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w:t>
      </w:r>
      <w:r w:rsidRPr="00AD418E">
        <w:rPr>
          <w:rFonts w:ascii="Times New Roman" w:hAnsi="Times New Roman"/>
          <w:sz w:val="24"/>
        </w:rPr>
        <w:lastRenderedPageBreak/>
        <w:t>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D418E">
        <w:rPr>
          <w:rFonts w:ascii="Times New Roman" w:hAnsi="Times New Roman"/>
          <w:bCs/>
          <w:sz w:val="24"/>
        </w:rPr>
        <w:t>с даты направления</w:t>
      </w:r>
      <w:proofErr w:type="gramEnd"/>
      <w:r w:rsidRPr="00AD418E">
        <w:rPr>
          <w:rFonts w:ascii="Times New Roman" w:hAnsi="Times New Roman"/>
          <w:bCs/>
          <w:sz w:val="24"/>
        </w:rPr>
        <w:t xml:space="preserve">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 xml:space="preserve">12.4. </w:t>
      </w:r>
      <w:proofErr w:type="gramStart"/>
      <w:r w:rsidRPr="00AD418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D418E">
        <w:rPr>
          <w:rFonts w:ascii="Times New Roman" w:hAnsi="Times New Roman"/>
          <w:sz w:val="24"/>
        </w:rPr>
        <w:t xml:space="preserve"> легализации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D418E">
        <w:rPr>
          <w:rFonts w:ascii="Times New Roman" w:hAnsi="Times New Roman"/>
          <w:sz w:val="24"/>
        </w:rPr>
        <w:t>был</w:t>
      </w:r>
      <w:proofErr w:type="gramEnd"/>
      <w:r w:rsidRPr="00AD418E">
        <w:rPr>
          <w:rFonts w:ascii="Times New Roman" w:hAnsi="Times New Roman"/>
          <w:sz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13.2.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xml:space="preserve">, а в части расчётов до полного </w:t>
      </w:r>
      <w:r w:rsidRPr="00AD418E">
        <w:rPr>
          <w:rFonts w:ascii="Times New Roman" w:hAnsi="Times New Roman"/>
          <w:sz w:val="24"/>
        </w:rPr>
        <w:lastRenderedPageBreak/>
        <w:t>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 xml:space="preserve">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w:t>
      </w:r>
      <w:r w:rsidRPr="00AD418E">
        <w:rPr>
          <w:rFonts w:ascii="Times New Roman" w:hAnsi="Times New Roman"/>
          <w:bCs/>
          <w:sz w:val="24"/>
        </w:rPr>
        <w:lastRenderedPageBreak/>
        <w:t>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___ </w:t>
      </w:r>
      <w:proofErr w:type="gramStart"/>
      <w:r w:rsidRPr="00AD418E">
        <w:rPr>
          <w:rFonts w:ascii="Times New Roman" w:hAnsi="Times New Roman"/>
          <w:sz w:val="24"/>
          <w:highlight w:val="lightGray"/>
        </w:rPr>
        <w:t>–Д</w:t>
      </w:r>
      <w:proofErr w:type="gramEnd"/>
      <w:r w:rsidRPr="00AD418E">
        <w:rPr>
          <w:rFonts w:ascii="Times New Roman" w:hAnsi="Times New Roman"/>
          <w:sz w:val="24"/>
          <w:highlight w:val="lightGray"/>
        </w:rPr>
        <w:t>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3E2D4A"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lastRenderedPageBreak/>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D4A" w:rsidRDefault="003E2D4A">
      <w:r>
        <w:separator/>
      </w:r>
    </w:p>
  </w:endnote>
  <w:endnote w:type="continuationSeparator" w:id="0">
    <w:p w:rsidR="003E2D4A" w:rsidRDefault="003E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3E2D4A">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301A60">
      <w:rPr>
        <w:rStyle w:val="ae"/>
        <w:noProof/>
      </w:rPr>
      <w:t>7</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D4A" w:rsidRDefault="003E2D4A">
      <w:r>
        <w:separator/>
      </w:r>
    </w:p>
  </w:footnote>
  <w:footnote w:type="continuationSeparator" w:id="0">
    <w:p w:rsidR="003E2D4A" w:rsidRDefault="003E2D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233DA7"/>
    <w:rsid w:val="00301A60"/>
    <w:rsid w:val="00386B31"/>
    <w:rsid w:val="003E2D4A"/>
    <w:rsid w:val="00517F50"/>
    <w:rsid w:val="005A1AFA"/>
    <w:rsid w:val="00634CCA"/>
    <w:rsid w:val="006664A0"/>
    <w:rsid w:val="00705661"/>
    <w:rsid w:val="007B74DD"/>
    <w:rsid w:val="008643A3"/>
    <w:rsid w:val="009471A4"/>
    <w:rsid w:val="009D0EA4"/>
    <w:rsid w:val="009E63D4"/>
    <w:rsid w:val="00A3386B"/>
    <w:rsid w:val="00A77C25"/>
    <w:rsid w:val="00A9633E"/>
    <w:rsid w:val="00AD418E"/>
    <w:rsid w:val="00B62185"/>
    <w:rsid w:val="00D530E9"/>
    <w:rsid w:val="00DA757B"/>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33</Pages>
  <Words>14516</Words>
  <Characters>82744</Characters>
  <Application>Microsoft Office Word</Application>
  <DocSecurity>0</DocSecurity>
  <Lines>689</Lines>
  <Paragraphs>194</Paragraphs>
  <ScaleCrop>false</ScaleCrop>
  <Company/>
  <LinksUpToDate>false</LinksUpToDate>
  <CharactersWithSpaces>97066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13</cp:revision>
  <dcterms:created xsi:type="dcterms:W3CDTF">2015-06-23T12:46:00Z</dcterms:created>
  <dcterms:modified xsi:type="dcterms:W3CDTF">2015-09-17T06:19:00Z</dcterms:modified>
</cp:coreProperties>
</file>