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80DF4">
            <w:pPr>
              <w:jc w:val="both"/>
            </w:pPr>
            <w:r w:rsidRPr="000127F9">
              <w:t>Протокол  № ___</w:t>
            </w:r>
            <w:r w:rsidR="00380DF4">
              <w:t>306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7E2FF7">
            <w:pPr>
              <w:jc w:val="both"/>
            </w:pPr>
            <w:r w:rsidRPr="000127F9">
              <w:t>«_</w:t>
            </w:r>
            <w:r w:rsidR="00380DF4">
              <w:t>0</w:t>
            </w:r>
            <w:r w:rsidR="007E2FF7">
              <w:t>7</w:t>
            </w:r>
            <w:r w:rsidRPr="000127F9">
              <w:t>_» __</w:t>
            </w:r>
            <w:r w:rsidR="00380DF4">
              <w:t>10</w:t>
            </w:r>
            <w:r w:rsidRPr="000127F9">
              <w:t>________  _</w:t>
            </w:r>
            <w:r w:rsidR="00380DF4"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4555A">
        <w:rPr>
          <w:b/>
        </w:rPr>
        <w:t>62</w:t>
      </w:r>
      <w:r w:rsidR="00505DE4">
        <w:rPr>
          <w:b/>
        </w:rPr>
        <w:t>2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380DF4">
        <w:rPr>
          <w:b/>
        </w:rPr>
        <w:t>0</w:t>
      </w:r>
      <w:r w:rsidR="007E2FF7">
        <w:rPr>
          <w:b/>
        </w:rPr>
        <w:t>7</w:t>
      </w:r>
      <w:r w:rsidR="00380DF4">
        <w:rPr>
          <w:b/>
        </w:rPr>
        <w:t>.10.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77222E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53797C">
        <w:rPr>
          <w:b/>
        </w:rPr>
        <w:t>213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53797C" w:rsidRPr="0053797C">
        <w:rPr>
          <w:b/>
        </w:rPr>
        <w:t>Консультационные услуги и иссле</w:t>
      </w:r>
      <w:r w:rsidR="0053797C">
        <w:rPr>
          <w:b/>
        </w:rPr>
        <w:t>дования в области бурения и ЗБС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77222E">
      <w:pPr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3009F8" w:rsidRPr="003009F8">
        <w:t>Формами 3, 4.</w:t>
      </w:r>
    </w:p>
    <w:p w:rsidR="0080164A" w:rsidRPr="000127F9" w:rsidRDefault="0080164A" w:rsidP="0077222E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№213/</w:t>
      </w:r>
      <w:r w:rsidR="00505DE4">
        <w:t>2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4555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4555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proofErr w:type="gramStart"/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F4555A" w:rsidRPr="00F4555A">
        <w:t>на оказание услуг по Геологическому сопровождению (</w:t>
      </w:r>
      <w:proofErr w:type="spellStart"/>
      <w:r w:rsidR="00F4555A" w:rsidRPr="00F4555A">
        <w:t>Геонавигация</w:t>
      </w:r>
      <w:proofErr w:type="spellEnd"/>
      <w:r w:rsidR="00F4555A" w:rsidRPr="00F4555A">
        <w:t xml:space="preserve">) бурения горизонтальных скважин и </w:t>
      </w:r>
      <w:proofErr w:type="spellStart"/>
      <w:r w:rsidR="00F4555A" w:rsidRPr="00F4555A">
        <w:t>зарезок</w:t>
      </w:r>
      <w:proofErr w:type="spellEnd"/>
      <w:r w:rsidR="00F4555A" w:rsidRPr="00F4555A">
        <w:t xml:space="preserve"> боковых горизонтальных стволов</w:t>
      </w:r>
      <w:r w:rsidR="00F4555A">
        <w:t xml:space="preserve"> </w:t>
      </w:r>
      <w:r>
        <w:t xml:space="preserve">по типу </w:t>
      </w:r>
      <w:r w:rsidR="006936BF">
        <w:t xml:space="preserve">сделки </w:t>
      </w:r>
      <w:r>
        <w:t xml:space="preserve">№ </w:t>
      </w:r>
      <w:r w:rsidR="00F4555A">
        <w:t>213</w:t>
      </w:r>
      <w:r w:rsidR="00D67B56" w:rsidRPr="00D67B56">
        <w:t xml:space="preserve"> «</w:t>
      </w:r>
      <w:r w:rsidR="00F4555A" w:rsidRPr="00F4555A">
        <w:t>Консультационные услуги и исследования в области бурения и ЗБС</w:t>
      </w:r>
      <w:r w:rsidR="00D67B56" w:rsidRPr="00D67B56">
        <w:t xml:space="preserve">» </w:t>
      </w:r>
      <w:r w:rsidR="004D1CD2">
        <w:t>(Форма 9) с заполненной и подписанной анкетой соответствия критериям технической оценки оферт участников закупки (Приложение 1 к Форме 9)</w:t>
      </w:r>
      <w:r w:rsidRPr="00F4555A">
        <w:rPr>
          <w:iCs/>
          <w:szCs w:val="16"/>
        </w:rPr>
        <w:t>.</w:t>
      </w:r>
      <w:proofErr w:type="gramEnd"/>
    </w:p>
    <w:p w:rsidR="00556572" w:rsidRPr="00D67B56" w:rsidRDefault="00556572" w:rsidP="00556572">
      <w:pPr>
        <w:jc w:val="both"/>
      </w:pP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380DF4" w:rsidRDefault="00380DF4" w:rsidP="00380DF4">
      <w:pPr>
        <w:spacing w:line="276" w:lineRule="auto"/>
        <w:jc w:val="both"/>
        <w:rPr>
          <w:b/>
        </w:rPr>
      </w:pPr>
      <w:r>
        <w:rPr>
          <w:b/>
        </w:rPr>
        <w:t>Начало приема оферт – «0</w:t>
      </w:r>
      <w:r w:rsidR="007E2FF7">
        <w:rPr>
          <w:b/>
        </w:rPr>
        <w:t>7</w:t>
      </w:r>
      <w:r>
        <w:rPr>
          <w:b/>
        </w:rPr>
        <w:t>» октября  2014 года.</w:t>
      </w:r>
    </w:p>
    <w:p w:rsidR="00380DF4" w:rsidRDefault="00380DF4" w:rsidP="00380DF4">
      <w:pPr>
        <w:spacing w:line="276" w:lineRule="auto"/>
        <w:jc w:val="both"/>
        <w:rPr>
          <w:b/>
        </w:rPr>
      </w:pPr>
      <w:r>
        <w:rPr>
          <w:b/>
        </w:rPr>
        <w:t>Окончан</w:t>
      </w:r>
      <w:r w:rsidR="007E2FF7">
        <w:rPr>
          <w:b/>
        </w:rPr>
        <w:t xml:space="preserve">ие приема оферт –  15:00 </w:t>
      </w:r>
      <w:proofErr w:type="gramStart"/>
      <w:r w:rsidR="007E2FF7">
        <w:rPr>
          <w:b/>
        </w:rPr>
        <w:t>МСК</w:t>
      </w:r>
      <w:proofErr w:type="gramEnd"/>
      <w:r w:rsidR="007E2FF7">
        <w:rPr>
          <w:b/>
        </w:rPr>
        <w:t xml:space="preserve">  «20</w:t>
      </w:r>
      <w:r>
        <w:rPr>
          <w:b/>
        </w:rPr>
        <w:t>» октября  2014 года.</w:t>
      </w:r>
    </w:p>
    <w:p w:rsidR="00380DF4" w:rsidRDefault="00380DF4" w:rsidP="00380DF4">
      <w:pPr>
        <w:spacing w:line="276" w:lineRule="auto"/>
        <w:jc w:val="both"/>
        <w:rPr>
          <w:b/>
        </w:rPr>
      </w:pPr>
      <w:r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4555A">
        <w:rPr>
          <w:b/>
        </w:rPr>
        <w:t>62</w:t>
      </w:r>
      <w:r w:rsidR="00505DE4">
        <w:rPr>
          <w:b/>
        </w:rPr>
        <w:t>2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>от «</w:t>
      </w:r>
      <w:r w:rsidR="00380DF4">
        <w:rPr>
          <w:b/>
        </w:rPr>
        <w:t>0</w:t>
      </w:r>
      <w:r w:rsidR="007E2FF7">
        <w:rPr>
          <w:b/>
        </w:rPr>
        <w:t>7</w:t>
      </w:r>
      <w:r w:rsidR="00D67B56" w:rsidRPr="00D67B56">
        <w:rPr>
          <w:b/>
        </w:rPr>
        <w:t>»</w:t>
      </w:r>
      <w:r w:rsidR="00380DF4">
        <w:rPr>
          <w:b/>
        </w:rPr>
        <w:t xml:space="preserve"> октября</w:t>
      </w:r>
      <w:r w:rsidR="00D67B56" w:rsidRPr="00D67B56">
        <w:rPr>
          <w:b/>
        </w:rPr>
        <w:t xml:space="preserve">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DD0A05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4555A" w:rsidRPr="00F4555A">
        <w:t>«Критериям технической оценки оферт участников закупки на оказание услуг по Геологическому сопровождению (</w:t>
      </w:r>
      <w:proofErr w:type="spellStart"/>
      <w:r w:rsidR="00F4555A" w:rsidRPr="00F4555A">
        <w:t>Геонавигация</w:t>
      </w:r>
      <w:proofErr w:type="spellEnd"/>
      <w:r w:rsidR="00F4555A" w:rsidRPr="00F4555A">
        <w:t xml:space="preserve">) бурения горизонтальных скважин и </w:t>
      </w:r>
      <w:proofErr w:type="spellStart"/>
      <w:r w:rsidR="00F4555A" w:rsidRPr="00F4555A">
        <w:t>зарезок</w:t>
      </w:r>
      <w:proofErr w:type="spellEnd"/>
      <w:r w:rsidR="00F4555A" w:rsidRPr="00F4555A">
        <w:t xml:space="preserve"> боковых горизонтальных стволов по типу сделки № 213 «Консультационные услуги и исследования в области бурения и ЗБС» </w:t>
      </w:r>
      <w:r w:rsidR="004D1CD2" w:rsidRPr="004D1CD2">
        <w:t>(Форма 9) с заполненной и подписанной анкетой соответствия критериям</w:t>
      </w:r>
      <w:proofErr w:type="gramEnd"/>
      <w:r w:rsidR="004D1CD2" w:rsidRPr="004D1CD2">
        <w:t xml:space="preserve"> технической оценки оферт участников закупки (Приложение 1 к Форме 9)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DD0A0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F43122">
        <w:t>й</w:t>
      </w:r>
      <w:r w:rsidR="00F43122" w:rsidRPr="00D302C2">
        <w:t>, подписанны</w:t>
      </w:r>
      <w:r w:rsidR="00F43122">
        <w:t>й</w:t>
      </w:r>
      <w:r w:rsidR="00F43122" w:rsidRPr="00D302C2">
        <w:t xml:space="preserve"> </w:t>
      </w:r>
      <w:r w:rsidR="00F43122" w:rsidRPr="006936BF">
        <w:t>лот</w:t>
      </w:r>
      <w:r w:rsidR="00F43122">
        <w:t xml:space="preserve"> № 213/</w:t>
      </w:r>
      <w:r w:rsidR="004978E8">
        <w:t>2</w:t>
      </w:r>
      <w:r w:rsidR="00F43122" w:rsidRPr="006936BF">
        <w:t xml:space="preserve"> (Форма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380DF4" w:rsidRPr="00A66641">
        <w:rPr>
          <w:b/>
          <w:u w:val="single"/>
        </w:rPr>
        <w:t>1</w:t>
      </w:r>
      <w:r w:rsidR="00B30677" w:rsidRPr="00A66641">
        <w:rPr>
          <w:b/>
          <w:u w:val="single"/>
        </w:rPr>
        <w:t>5</w:t>
      </w:r>
      <w:r w:rsidRPr="000127F9">
        <w:rPr>
          <w:b/>
        </w:rPr>
        <w:t xml:space="preserve">» </w:t>
      </w:r>
      <w:r w:rsidR="00380DF4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  <w:bookmarkStart w:id="0" w:name="_GoBack"/>
      <w:bookmarkEnd w:id="0"/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 xml:space="preserve">Начальник </w:t>
      </w:r>
      <w:r w:rsidR="00F43122">
        <w:rPr>
          <w:rFonts w:eastAsia="Calibri"/>
        </w:rPr>
        <w:t>о</w:t>
      </w:r>
      <w:r w:rsidR="00F43122" w:rsidRPr="00F43122">
        <w:rPr>
          <w:rFonts w:eastAsia="Calibri"/>
        </w:rPr>
        <w:t>тдел</w:t>
      </w:r>
      <w:r w:rsidR="00F43122">
        <w:rPr>
          <w:rFonts w:eastAsia="Calibri"/>
        </w:rPr>
        <w:t>а</w:t>
      </w:r>
      <w:r w:rsidR="00F43122" w:rsidRPr="00F43122">
        <w:rPr>
          <w:rFonts w:eastAsia="Calibri"/>
        </w:rPr>
        <w:t xml:space="preserve"> геологического сопровождения бурения и ЗБС</w:t>
      </w:r>
    </w:p>
    <w:p w:rsidR="00F43122" w:rsidRDefault="00F43122" w:rsidP="006936BF">
      <w:pPr>
        <w:ind w:firstLine="708"/>
        <w:jc w:val="both"/>
        <w:rPr>
          <w:rFonts w:eastAsia="Calibri"/>
        </w:rPr>
      </w:pPr>
      <w:proofErr w:type="spellStart"/>
      <w:r w:rsidRPr="00F43122">
        <w:rPr>
          <w:rFonts w:eastAsia="Calibri"/>
        </w:rPr>
        <w:t>Гиззатуллин</w:t>
      </w:r>
      <w:proofErr w:type="spellEnd"/>
      <w:r w:rsidRPr="00F43122">
        <w:rPr>
          <w:rFonts w:eastAsia="Calibri"/>
        </w:rPr>
        <w:t xml:space="preserve"> Радик </w:t>
      </w:r>
      <w:proofErr w:type="spellStart"/>
      <w:r w:rsidRPr="00F43122">
        <w:rPr>
          <w:rFonts w:eastAsia="Calibri"/>
        </w:rPr>
        <w:t>Аликович</w:t>
      </w:r>
      <w:proofErr w:type="spellEnd"/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(34643) 46-610</w:t>
      </w:r>
      <w:r w:rsidR="006936BF" w:rsidRPr="006936BF">
        <w:rPr>
          <w:rFonts w:eastAsia="Calibri"/>
        </w:rPr>
        <w:t>,</w:t>
      </w:r>
      <w:r w:rsidR="006936BF" w:rsidRPr="006936BF">
        <w:rPr>
          <w:rFonts w:eastAsia="Calibri"/>
          <w:u w:val="single"/>
        </w:rPr>
        <w:t xml:space="preserve"> </w:t>
      </w:r>
      <w:hyperlink r:id="rId9" w:history="1">
        <w:r w:rsidRPr="00CA09CA">
          <w:rPr>
            <w:rStyle w:val="af4"/>
            <w:rFonts w:eastAsia="Calibri"/>
            <w:lang w:val="en-US"/>
          </w:rPr>
          <w:t>GizzatullinRA</w:t>
        </w:r>
        <w:r w:rsidRPr="00CA09CA">
          <w:rPr>
            <w:rStyle w:val="af4"/>
            <w:rFonts w:eastAsia="Calibri"/>
          </w:rPr>
          <w:t>@mng.slavneft.ru</w:t>
        </w:r>
      </w:hyperlink>
      <w:r w:rsidR="006936BF" w:rsidRPr="006936BF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геологоразведочных работ – </w:t>
      </w: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Юдина Неля </w:t>
      </w:r>
      <w:proofErr w:type="spellStart"/>
      <w:r w:rsidRPr="00F43122">
        <w:rPr>
          <w:rFonts w:eastAsia="Calibri"/>
        </w:rPr>
        <w:t>Наримановна</w:t>
      </w:r>
      <w:proofErr w:type="spellEnd"/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Тел. 8-34643-46-916, </w:t>
      </w:r>
      <w:hyperlink r:id="rId10" w:history="1">
        <w:r w:rsidRPr="00CA09CA">
          <w:rPr>
            <w:rStyle w:val="af4"/>
            <w:rFonts w:eastAsia="Calibri"/>
          </w:rPr>
          <w:t>IudinaNN@mng.slavneft.ru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lastRenderedPageBreak/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43122">
        <w:rPr>
          <w:b/>
          <w:sz w:val="22"/>
          <w:szCs w:val="22"/>
        </w:rPr>
        <w:t>62</w:t>
      </w:r>
      <w:r w:rsidR="004978E8">
        <w:rPr>
          <w:b/>
          <w:sz w:val="22"/>
          <w:szCs w:val="22"/>
        </w:rPr>
        <w:t>2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380DF4">
        <w:rPr>
          <w:b/>
          <w:sz w:val="22"/>
          <w:szCs w:val="22"/>
        </w:rPr>
        <w:t>0</w:t>
      </w:r>
      <w:r w:rsidR="007E2FF7">
        <w:rPr>
          <w:b/>
          <w:sz w:val="22"/>
          <w:szCs w:val="22"/>
        </w:rPr>
        <w:t>7</w:t>
      </w:r>
      <w:r w:rsidR="00380DF4">
        <w:rPr>
          <w:b/>
          <w:sz w:val="22"/>
          <w:szCs w:val="22"/>
        </w:rPr>
        <w:t>.10.</w:t>
      </w:r>
      <w:r w:rsidR="00D96FC8" w:rsidRPr="00D96FC8">
        <w:rPr>
          <w:b/>
          <w:sz w:val="22"/>
          <w:szCs w:val="22"/>
        </w:rPr>
        <w:t xml:space="preserve">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775637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D96FC8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5F4391" w:rsidRPr="005F4391">
        <w:rPr>
          <w:b/>
          <w:sz w:val="22"/>
          <w:szCs w:val="22"/>
        </w:rPr>
        <w:t>на оказание услуг по геологическому сопровождению бурения (</w:t>
      </w:r>
      <w:proofErr w:type="spellStart"/>
      <w:r w:rsidR="005F4391" w:rsidRPr="005F4391">
        <w:rPr>
          <w:b/>
          <w:sz w:val="22"/>
          <w:szCs w:val="22"/>
        </w:rPr>
        <w:t>геонавигации</w:t>
      </w:r>
      <w:proofErr w:type="spellEnd"/>
      <w:r w:rsidR="005F4391" w:rsidRPr="005F4391">
        <w:rPr>
          <w:b/>
          <w:sz w:val="22"/>
          <w:szCs w:val="22"/>
        </w:rPr>
        <w:t xml:space="preserve">) горизонтальных стволов эксплуатационных скважин, горизонтальных стволов при </w:t>
      </w:r>
      <w:proofErr w:type="spellStart"/>
      <w:r w:rsidR="005F4391" w:rsidRPr="005F4391">
        <w:rPr>
          <w:b/>
          <w:sz w:val="22"/>
          <w:szCs w:val="22"/>
        </w:rPr>
        <w:t>зарезке</w:t>
      </w:r>
      <w:proofErr w:type="spellEnd"/>
      <w:r w:rsidR="005F4391" w:rsidRPr="005F4391">
        <w:rPr>
          <w:b/>
          <w:sz w:val="22"/>
          <w:szCs w:val="22"/>
        </w:rPr>
        <w:t xml:space="preserve"> боковых стволов (ЗБС)</w:t>
      </w:r>
      <w:r w:rsidR="005F4391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5F4391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4978E8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4978E8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5F4391">
              <w:rPr>
                <w:szCs w:val="16"/>
              </w:rPr>
              <w:t>0</w:t>
            </w:r>
            <w:r w:rsidR="00C16A12">
              <w:rPr>
                <w:szCs w:val="16"/>
              </w:rPr>
              <w:t>.</w:t>
            </w:r>
            <w:r w:rsidR="005F4391">
              <w:rPr>
                <w:szCs w:val="16"/>
              </w:rPr>
              <w:t>06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380DF4">
            <w:pPr>
              <w:jc w:val="right"/>
            </w:pPr>
            <w:r w:rsidRPr="000127F9">
              <w:t>Протокол  № __</w:t>
            </w:r>
            <w:r w:rsidR="00380DF4">
              <w:t>306</w:t>
            </w:r>
            <w:r w:rsidRPr="000127F9">
              <w:t>________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7E2FF7">
            <w:pPr>
              <w:jc w:val="right"/>
            </w:pPr>
            <w:r w:rsidRPr="000127F9">
              <w:t>«_</w:t>
            </w:r>
            <w:r w:rsidR="00380DF4">
              <w:t>0</w:t>
            </w:r>
            <w:r w:rsidR="007E2FF7">
              <w:t>7</w:t>
            </w:r>
            <w:r w:rsidRPr="000127F9">
              <w:t>_» ____</w:t>
            </w:r>
            <w:r w:rsidR="00380DF4">
              <w:t>10</w:t>
            </w:r>
            <w:r w:rsidRPr="000127F9">
              <w:t>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4978E8" w:rsidRPr="004978E8" w:rsidRDefault="004978E8" w:rsidP="004978E8">
      <w:pPr>
        <w:jc w:val="center"/>
        <w:rPr>
          <w:b/>
        </w:rPr>
      </w:pPr>
      <w:r w:rsidRPr="004978E8">
        <w:rPr>
          <w:b/>
        </w:rPr>
        <w:t>на оказание услуг по геологическому сопровождению бурения (</w:t>
      </w:r>
      <w:proofErr w:type="spellStart"/>
      <w:r w:rsidRPr="004978E8">
        <w:rPr>
          <w:b/>
        </w:rPr>
        <w:t>геонавигации</w:t>
      </w:r>
      <w:proofErr w:type="spellEnd"/>
      <w:r w:rsidRPr="004978E8">
        <w:rPr>
          <w:b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4978E8">
        <w:rPr>
          <w:b/>
        </w:rPr>
        <w:t>зарезке</w:t>
      </w:r>
      <w:proofErr w:type="spellEnd"/>
      <w:r w:rsidRPr="004978E8">
        <w:rPr>
          <w:b/>
        </w:rPr>
        <w:t xml:space="preserve"> боковых стволов</w:t>
      </w:r>
    </w:p>
    <w:p w:rsidR="004978E8" w:rsidRPr="004978E8" w:rsidRDefault="004978E8" w:rsidP="004978E8">
      <w:pPr>
        <w:jc w:val="center"/>
        <w:rPr>
          <w:b/>
          <w:bCs/>
        </w:rPr>
      </w:pP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6"/>
          <w:szCs w:val="26"/>
        </w:rPr>
      </w:pPr>
      <w:r w:rsidRPr="004978E8">
        <w:rPr>
          <w:rFonts w:eastAsia="Calibri"/>
          <w:i/>
          <w:iCs/>
          <w:sz w:val="26"/>
          <w:szCs w:val="26"/>
        </w:rPr>
        <w:t xml:space="preserve">1.Общие положения. 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Оказание </w:t>
      </w:r>
      <w:r w:rsidRPr="004978E8">
        <w:rPr>
          <w:sz w:val="26"/>
          <w:szCs w:val="26"/>
        </w:rPr>
        <w:t>услуг по геологическому сопровождению бурения (</w:t>
      </w:r>
      <w:proofErr w:type="spellStart"/>
      <w:r w:rsidRPr="004978E8">
        <w:rPr>
          <w:sz w:val="26"/>
          <w:szCs w:val="26"/>
        </w:rPr>
        <w:t>геонавигации</w:t>
      </w:r>
      <w:proofErr w:type="spellEnd"/>
      <w:r w:rsidRPr="004978E8">
        <w:rPr>
          <w:sz w:val="26"/>
          <w:szCs w:val="26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4978E8">
        <w:rPr>
          <w:sz w:val="26"/>
          <w:szCs w:val="26"/>
        </w:rPr>
        <w:t>зарезке</w:t>
      </w:r>
      <w:proofErr w:type="spellEnd"/>
      <w:r w:rsidRPr="004978E8">
        <w:rPr>
          <w:sz w:val="26"/>
          <w:szCs w:val="26"/>
        </w:rPr>
        <w:t xml:space="preserve"> боковых стволов</w:t>
      </w:r>
      <w:r w:rsidRPr="004978E8">
        <w:rPr>
          <w:rFonts w:eastAsia="Calibri"/>
          <w:bCs/>
          <w:sz w:val="26"/>
          <w:szCs w:val="26"/>
        </w:rPr>
        <w:t xml:space="preserve"> на месторождениях ОАО «СН-МНГ»</w:t>
      </w:r>
      <w:r w:rsidRPr="004978E8">
        <w:rPr>
          <w:rFonts w:eastAsia="Calibri"/>
          <w:sz w:val="26"/>
          <w:szCs w:val="26"/>
        </w:rPr>
        <w:t>.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Департамент геологии и недропользования ОАО «СН-МНГ»;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  <w:lang w:eastAsia="en-US"/>
        </w:rPr>
        <w:t xml:space="preserve">Планируемые сроки оказания услуг </w:t>
      </w:r>
      <w:r w:rsidRPr="004978E8">
        <w:rPr>
          <w:rFonts w:eastAsia="Calibri"/>
          <w:b/>
          <w:sz w:val="26"/>
          <w:szCs w:val="26"/>
          <w:u w:val="single"/>
          <w:lang w:eastAsia="en-US"/>
        </w:rPr>
        <w:t>01.01.2015г.</w:t>
      </w:r>
      <w:r w:rsidRPr="004978E8">
        <w:rPr>
          <w:rFonts w:eastAsia="Calibri"/>
          <w:b/>
          <w:sz w:val="26"/>
          <w:szCs w:val="26"/>
          <w:lang w:eastAsia="en-US"/>
        </w:rPr>
        <w:t xml:space="preserve"> – </w:t>
      </w:r>
      <w:r w:rsidRPr="004978E8">
        <w:rPr>
          <w:rFonts w:eastAsia="Calibri"/>
          <w:b/>
          <w:sz w:val="26"/>
          <w:szCs w:val="26"/>
          <w:u w:val="single"/>
          <w:lang w:eastAsia="en-US"/>
        </w:rPr>
        <w:t>30.06.2015г.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  <w:lang w:eastAsia="en-US"/>
        </w:rPr>
        <w:t xml:space="preserve">Планируемый объём работ </w:t>
      </w:r>
      <w:r w:rsidRPr="004978E8">
        <w:rPr>
          <w:rFonts w:eastAsia="Calibri"/>
          <w:b/>
          <w:sz w:val="26"/>
          <w:szCs w:val="26"/>
          <w:u w:val="single"/>
          <w:lang w:eastAsia="en-US"/>
        </w:rPr>
        <w:t xml:space="preserve">сопровождение </w:t>
      </w:r>
      <w:r w:rsidRPr="004978E8">
        <w:rPr>
          <w:rFonts w:eastAsia="Calibri"/>
          <w:b/>
          <w:sz w:val="26"/>
          <w:szCs w:val="26"/>
          <w:u w:val="single"/>
          <w:lang w:val="en-US" w:eastAsia="en-US"/>
        </w:rPr>
        <w:t>65</w:t>
      </w:r>
      <w:r w:rsidRPr="004978E8">
        <w:rPr>
          <w:rFonts w:eastAsia="Calibri"/>
          <w:b/>
          <w:sz w:val="26"/>
          <w:szCs w:val="26"/>
          <w:u w:val="single"/>
          <w:lang w:eastAsia="en-US"/>
        </w:rPr>
        <w:t xml:space="preserve"> скважин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spacing w:line="320" w:lineRule="exact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Договор не предусматривает наличие предоплаты. </w:t>
      </w:r>
    </w:p>
    <w:p w:rsidR="004978E8" w:rsidRPr="004978E8" w:rsidRDefault="004978E8" w:rsidP="004978E8">
      <w:pPr>
        <w:numPr>
          <w:ilvl w:val="0"/>
          <w:numId w:val="11"/>
        </w:numPr>
        <w:tabs>
          <w:tab w:val="num" w:pos="0"/>
          <w:tab w:val="num" w:pos="900"/>
        </w:tabs>
        <w:overflowPunct w:val="0"/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Оплата работ производится Заказчиком в течение 90 (девяноста), но не ранее 60 (шестидесяти) календарных дней с момента предоставления Исполнителем счета-фактуры, выставленного на основании подписанного обеими сторонами Акта выполненных работ по каждому этапу.</w:t>
      </w: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6"/>
          <w:szCs w:val="26"/>
        </w:rPr>
      </w:pPr>
      <w:r w:rsidRPr="004978E8">
        <w:rPr>
          <w:rFonts w:eastAsia="Calibri"/>
          <w:i/>
          <w:iCs/>
          <w:sz w:val="26"/>
          <w:szCs w:val="26"/>
        </w:rPr>
        <w:t xml:space="preserve">2. Основные требования к услугам.     </w:t>
      </w:r>
    </w:p>
    <w:p w:rsidR="004978E8" w:rsidRPr="004978E8" w:rsidRDefault="004978E8" w:rsidP="004978E8">
      <w:pPr>
        <w:numPr>
          <w:ilvl w:val="0"/>
          <w:numId w:val="14"/>
        </w:numPr>
        <w:ind w:left="0" w:firstLine="0"/>
        <w:jc w:val="both"/>
        <w:rPr>
          <w:sz w:val="26"/>
          <w:szCs w:val="26"/>
        </w:rPr>
      </w:pPr>
      <w:r w:rsidRPr="004978E8">
        <w:rPr>
          <w:sz w:val="26"/>
          <w:szCs w:val="26"/>
        </w:rPr>
        <w:t>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:rsidR="004978E8" w:rsidRPr="004978E8" w:rsidRDefault="004978E8" w:rsidP="004978E8">
      <w:pPr>
        <w:numPr>
          <w:ilvl w:val="0"/>
          <w:numId w:val="14"/>
        </w:numPr>
        <w:ind w:left="0" w:hanging="22"/>
        <w:jc w:val="both"/>
        <w:rPr>
          <w:sz w:val="26"/>
          <w:szCs w:val="26"/>
        </w:rPr>
      </w:pPr>
      <w:r w:rsidRPr="004978E8">
        <w:rPr>
          <w:sz w:val="26"/>
          <w:szCs w:val="26"/>
        </w:rPr>
        <w:t>Геологическое сопровождение (</w:t>
      </w:r>
      <w:proofErr w:type="spellStart"/>
      <w:r w:rsidRPr="004978E8">
        <w:rPr>
          <w:sz w:val="26"/>
          <w:szCs w:val="26"/>
        </w:rPr>
        <w:t>Геонавигация</w:t>
      </w:r>
      <w:proofErr w:type="spellEnd"/>
      <w:r w:rsidRPr="004978E8">
        <w:rPr>
          <w:sz w:val="26"/>
          <w:szCs w:val="26"/>
        </w:rPr>
        <w:t xml:space="preserve">) бурения горизонтальных скважин, горизонтальных стволов должна осуществляться в программном комплексе (далее ПК)  с методом двумерного синтетического каротажа </w:t>
      </w:r>
      <w:r w:rsidRPr="004978E8">
        <w:rPr>
          <w:rFonts w:eastAsia="Calibri"/>
          <w:sz w:val="26"/>
          <w:szCs w:val="26"/>
        </w:rPr>
        <w:t>в специализированном программном комплексе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>; и т.д.)</w:t>
      </w:r>
      <w:r w:rsidRPr="004978E8">
        <w:rPr>
          <w:sz w:val="26"/>
          <w:szCs w:val="26"/>
        </w:rPr>
        <w:t>;</w:t>
      </w:r>
    </w:p>
    <w:p w:rsidR="004978E8" w:rsidRPr="004978E8" w:rsidRDefault="004978E8" w:rsidP="004978E8">
      <w:pPr>
        <w:numPr>
          <w:ilvl w:val="0"/>
          <w:numId w:val="14"/>
        </w:numPr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Все предложения и расчеты выполняются на созданных в процессе работы двумерных синтетических моделях.</w:t>
      </w:r>
    </w:p>
    <w:p w:rsidR="004978E8" w:rsidRPr="004978E8" w:rsidRDefault="004978E8" w:rsidP="004978E8">
      <w:pPr>
        <w:numPr>
          <w:ilvl w:val="0"/>
          <w:numId w:val="14"/>
        </w:numPr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Работа должна быть оформлена и представлена в виде окончательного отчета на бумажном носителе (2 экз.) и в электронном виде 1 экз. (CD или DVD диски).</w:t>
      </w:r>
    </w:p>
    <w:p w:rsidR="004978E8" w:rsidRPr="004978E8" w:rsidRDefault="004978E8" w:rsidP="004978E8">
      <w:pPr>
        <w:numPr>
          <w:ilvl w:val="0"/>
          <w:numId w:val="14"/>
        </w:numPr>
        <w:ind w:left="0" w:firstLine="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Промежуточные этапы – в виде информационного отчета.</w:t>
      </w:r>
    </w:p>
    <w:p w:rsidR="004978E8" w:rsidRPr="004978E8" w:rsidRDefault="004978E8" w:rsidP="004978E8">
      <w:pPr>
        <w:jc w:val="both"/>
        <w:rPr>
          <w:sz w:val="26"/>
          <w:szCs w:val="26"/>
        </w:rPr>
      </w:pP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6"/>
          <w:szCs w:val="26"/>
        </w:rPr>
      </w:pPr>
      <w:r w:rsidRPr="004978E8">
        <w:rPr>
          <w:rFonts w:eastAsia="Calibri"/>
          <w:i/>
          <w:iCs/>
          <w:sz w:val="26"/>
          <w:szCs w:val="26"/>
        </w:rPr>
        <w:t xml:space="preserve">3. Основные требования к Контрагенту.  </w:t>
      </w:r>
    </w:p>
    <w:p w:rsidR="004978E8" w:rsidRPr="004978E8" w:rsidRDefault="004978E8" w:rsidP="004978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4978E8">
        <w:rPr>
          <w:rFonts w:eastAsia="Arial Unicode MS"/>
          <w:sz w:val="26"/>
          <w:szCs w:val="26"/>
        </w:rPr>
        <w:t>Наличие лицензий (разрешений), предусмотренных законодательством Российской Федерации, на осуществление данного вида работ сроком до 31.12.2015 года.</w:t>
      </w:r>
    </w:p>
    <w:p w:rsidR="004978E8" w:rsidRPr="004978E8" w:rsidRDefault="004978E8" w:rsidP="004978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4978E8">
        <w:rPr>
          <w:rFonts w:eastAsia="Arial Unicode MS"/>
          <w:sz w:val="26"/>
          <w:szCs w:val="26"/>
        </w:rPr>
        <w:t>Участник конкурса должен обладать необходимым для выполнения работы производственным и техническим потенциалом.</w:t>
      </w:r>
    </w:p>
    <w:p w:rsidR="004978E8" w:rsidRPr="004978E8" w:rsidRDefault="004978E8" w:rsidP="004978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4978E8">
        <w:rPr>
          <w:rFonts w:eastAsia="Arial Unicode MS"/>
          <w:sz w:val="26"/>
          <w:szCs w:val="26"/>
        </w:rPr>
        <w:lastRenderedPageBreak/>
        <w:t xml:space="preserve">Участник должен обладать </w:t>
      </w:r>
      <w:r w:rsidRPr="004978E8">
        <w:rPr>
          <w:rFonts w:eastAsia="Calibri"/>
          <w:sz w:val="26"/>
          <w:szCs w:val="26"/>
        </w:rPr>
        <w:t>специализированным программным комплексом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 xml:space="preserve">; и т.д.) </w:t>
      </w:r>
    </w:p>
    <w:p w:rsidR="004978E8" w:rsidRPr="004978E8" w:rsidRDefault="004978E8" w:rsidP="004978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4978E8">
        <w:rPr>
          <w:rFonts w:eastAsia="Arial Unicode MS"/>
          <w:sz w:val="26"/>
          <w:szCs w:val="26"/>
        </w:rPr>
        <w:t>Участник должен обладать опытом производства работ.</w:t>
      </w:r>
    </w:p>
    <w:p w:rsidR="004978E8" w:rsidRPr="004978E8" w:rsidRDefault="004978E8" w:rsidP="004978E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567"/>
        <w:jc w:val="both"/>
        <w:rPr>
          <w:rFonts w:eastAsia="Arial Unicode MS"/>
          <w:sz w:val="26"/>
          <w:szCs w:val="26"/>
        </w:rPr>
      </w:pPr>
      <w:r w:rsidRPr="004978E8">
        <w:rPr>
          <w:rFonts w:eastAsia="Arial Unicode MS"/>
          <w:sz w:val="26"/>
          <w:szCs w:val="26"/>
        </w:rPr>
        <w:t xml:space="preserve">Участник должен предоставлять квалифицированный персонал, имеющий соответствующее квалификационное удостоверение, 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6"/>
          <w:szCs w:val="26"/>
        </w:rPr>
      </w:pPr>
    </w:p>
    <w:p w:rsidR="004978E8" w:rsidRPr="004978E8" w:rsidRDefault="004978E8" w:rsidP="004978E8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  <w:iCs/>
          <w:sz w:val="26"/>
          <w:szCs w:val="26"/>
        </w:rPr>
      </w:pPr>
      <w:r w:rsidRPr="004978E8">
        <w:rPr>
          <w:rFonts w:eastAsia="Calibri"/>
          <w:i/>
          <w:iCs/>
          <w:sz w:val="26"/>
          <w:szCs w:val="26"/>
        </w:rPr>
        <w:t xml:space="preserve">4. Условия оказания услуг. </w:t>
      </w:r>
    </w:p>
    <w:p w:rsidR="004978E8" w:rsidRPr="004978E8" w:rsidRDefault="004978E8" w:rsidP="004978E8">
      <w:pPr>
        <w:ind w:firstLine="72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 xml:space="preserve">1. Целевое назначение работы. </w:t>
      </w:r>
      <w:r w:rsidRPr="004978E8">
        <w:rPr>
          <w:rFonts w:eastAsia="Calibri"/>
          <w:sz w:val="26"/>
          <w:szCs w:val="26"/>
        </w:rPr>
        <w:t xml:space="preserve">Проводка горизонтальных скважин, горизонтальных </w:t>
      </w:r>
      <w:proofErr w:type="spellStart"/>
      <w:r w:rsidRPr="004978E8">
        <w:rPr>
          <w:rFonts w:eastAsia="Calibri"/>
          <w:sz w:val="26"/>
          <w:szCs w:val="26"/>
        </w:rPr>
        <w:t>зарезок</w:t>
      </w:r>
      <w:proofErr w:type="spellEnd"/>
      <w:r w:rsidRPr="004978E8">
        <w:rPr>
          <w:rFonts w:eastAsia="Calibri"/>
          <w:sz w:val="26"/>
          <w:szCs w:val="26"/>
        </w:rPr>
        <w:t xml:space="preserve"> боковых стволов согласно геологическим задачам по средствам корректировок траекторий в режиме реального времени (24часа в сутки/7дней в неделю) в зависимости от геологической обстановки в районе бурения на основе данных бурения получаемых от подрядчика по телеметрии и ГТИ на месторождениях ОАО «СН-МНГ».</w:t>
      </w:r>
    </w:p>
    <w:p w:rsidR="004978E8" w:rsidRPr="004978E8" w:rsidRDefault="004978E8" w:rsidP="004978E8">
      <w:pPr>
        <w:ind w:firstLine="72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Услуги включают в себя: построение 2</w:t>
      </w:r>
      <w:r w:rsidRPr="004978E8">
        <w:rPr>
          <w:rFonts w:eastAsia="Calibri"/>
          <w:sz w:val="26"/>
          <w:szCs w:val="26"/>
          <w:lang w:val="en-US"/>
        </w:rPr>
        <w:t>D</w:t>
      </w:r>
      <w:r w:rsidRPr="004978E8">
        <w:rPr>
          <w:rFonts w:eastAsia="Calibri"/>
          <w:sz w:val="26"/>
          <w:szCs w:val="26"/>
        </w:rPr>
        <w:t xml:space="preserve"> модели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 xml:space="preserve"> проводки горизонтального ствола в продуктивном горизонте;  круглосуточный анализ данных ГИС получаемых в процессе бурения; оперативную выдачу рекомендаций по изменению траектории бурения горизонтальных стволов в наилучших зонах продуктивных пластов; оценку качества и эффективности проводки горизонтальных скважин</w:t>
      </w:r>
    </w:p>
    <w:p w:rsidR="004978E8" w:rsidRPr="004978E8" w:rsidRDefault="004978E8" w:rsidP="004978E8">
      <w:pPr>
        <w:ind w:firstLine="72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 xml:space="preserve">2. Основание для постановки задачи: </w:t>
      </w:r>
      <w:r w:rsidRPr="004978E8">
        <w:rPr>
          <w:rFonts w:eastAsia="Calibri"/>
          <w:sz w:val="26"/>
          <w:szCs w:val="26"/>
        </w:rPr>
        <w:t xml:space="preserve">Достижение целей и выполнение геологических задач, возложенных на скважину, путем оперативного изменения траектории горизонтальной скважины, горизонтальной </w:t>
      </w:r>
      <w:proofErr w:type="spellStart"/>
      <w:r w:rsidRPr="004978E8">
        <w:rPr>
          <w:rFonts w:eastAsia="Calibri"/>
          <w:sz w:val="26"/>
          <w:szCs w:val="26"/>
        </w:rPr>
        <w:t>зарезок</w:t>
      </w:r>
      <w:proofErr w:type="spellEnd"/>
      <w:r w:rsidRPr="004978E8">
        <w:rPr>
          <w:rFonts w:eastAsia="Calibri"/>
          <w:sz w:val="26"/>
          <w:szCs w:val="26"/>
        </w:rPr>
        <w:t xml:space="preserve"> боковых стволов во время бурения в зависимости от геологических условий.</w:t>
      </w:r>
    </w:p>
    <w:p w:rsidR="004978E8" w:rsidRPr="004978E8" w:rsidRDefault="004978E8" w:rsidP="004978E8">
      <w:pPr>
        <w:ind w:firstLine="72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>3. Объекты исследования.</w:t>
      </w:r>
      <w:r w:rsidRPr="004978E8">
        <w:rPr>
          <w:rFonts w:eastAsia="Calibri"/>
          <w:sz w:val="26"/>
          <w:szCs w:val="26"/>
        </w:rPr>
        <w:t xml:space="preserve"> </w:t>
      </w:r>
    </w:p>
    <w:p w:rsidR="004978E8" w:rsidRPr="004978E8" w:rsidRDefault="004978E8" w:rsidP="004978E8">
      <w:pPr>
        <w:keepLines/>
        <w:tabs>
          <w:tab w:val="left" w:pos="900"/>
        </w:tabs>
        <w:ind w:firstLine="720"/>
        <w:jc w:val="both"/>
        <w:rPr>
          <w:sz w:val="26"/>
          <w:szCs w:val="26"/>
        </w:rPr>
      </w:pPr>
      <w:r w:rsidRPr="004978E8">
        <w:rPr>
          <w:sz w:val="26"/>
          <w:szCs w:val="26"/>
        </w:rPr>
        <w:t xml:space="preserve">Объектом исследования являются все продуктивные объекты для бурения горизонтальных скважин, горизонтальных </w:t>
      </w:r>
      <w:proofErr w:type="spellStart"/>
      <w:r w:rsidRPr="004978E8">
        <w:rPr>
          <w:sz w:val="26"/>
          <w:szCs w:val="26"/>
        </w:rPr>
        <w:t>зарезок</w:t>
      </w:r>
      <w:proofErr w:type="spellEnd"/>
      <w:r w:rsidRPr="004978E8">
        <w:rPr>
          <w:sz w:val="26"/>
          <w:szCs w:val="26"/>
        </w:rPr>
        <w:t xml:space="preserve"> боковых стволов на месторождениях ОАО «СН-МНГ». </w:t>
      </w:r>
    </w:p>
    <w:p w:rsidR="004978E8" w:rsidRPr="004978E8" w:rsidRDefault="004978E8" w:rsidP="004978E8">
      <w:pPr>
        <w:ind w:firstLine="720"/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 xml:space="preserve">4. Основные требования к работе: </w:t>
      </w:r>
    </w:p>
    <w:p w:rsidR="004978E8" w:rsidRPr="004978E8" w:rsidRDefault="004978E8" w:rsidP="004978E8">
      <w:pPr>
        <w:ind w:firstLine="720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Работа выполняется для ОАО «</w:t>
      </w:r>
      <w:proofErr w:type="spellStart"/>
      <w:r w:rsidRPr="004978E8">
        <w:rPr>
          <w:rFonts w:eastAsia="Calibri"/>
          <w:sz w:val="26"/>
          <w:szCs w:val="26"/>
        </w:rPr>
        <w:t>Славнефть</w:t>
      </w:r>
      <w:proofErr w:type="spellEnd"/>
      <w:r w:rsidRPr="004978E8">
        <w:rPr>
          <w:rFonts w:eastAsia="Calibri"/>
          <w:sz w:val="26"/>
          <w:szCs w:val="26"/>
        </w:rPr>
        <w:t xml:space="preserve">-Мегионнефтегаз», </w:t>
      </w:r>
      <w:proofErr w:type="gramStart"/>
      <w:r w:rsidRPr="004978E8">
        <w:rPr>
          <w:rFonts w:eastAsia="Calibri"/>
          <w:sz w:val="26"/>
          <w:szCs w:val="26"/>
        </w:rPr>
        <w:t>согласно</w:t>
      </w:r>
      <w:proofErr w:type="gramEnd"/>
      <w:r w:rsidRPr="004978E8">
        <w:rPr>
          <w:rFonts w:eastAsia="Calibri"/>
          <w:sz w:val="26"/>
          <w:szCs w:val="26"/>
        </w:rPr>
        <w:t xml:space="preserve"> утверждённой программы на оказание услуг (приложение </w:t>
      </w:r>
      <w:r w:rsidR="004D790C">
        <w:rPr>
          <w:rFonts w:eastAsia="Calibri"/>
          <w:sz w:val="26"/>
          <w:szCs w:val="26"/>
        </w:rPr>
        <w:t>к лоту</w:t>
      </w:r>
      <w:r w:rsidRPr="004978E8">
        <w:rPr>
          <w:rFonts w:eastAsia="Calibri"/>
          <w:sz w:val="26"/>
          <w:szCs w:val="26"/>
        </w:rPr>
        <w:t xml:space="preserve">). Осуществляется геологическое сопровождение бурения горизонтальных скважин, горизонтальных </w:t>
      </w:r>
      <w:proofErr w:type="spellStart"/>
      <w:r w:rsidRPr="004978E8">
        <w:rPr>
          <w:rFonts w:eastAsia="Calibri"/>
          <w:sz w:val="26"/>
          <w:szCs w:val="26"/>
        </w:rPr>
        <w:t>зарезок</w:t>
      </w:r>
      <w:proofErr w:type="spellEnd"/>
      <w:r w:rsidRPr="004978E8">
        <w:rPr>
          <w:rFonts w:eastAsia="Calibri"/>
          <w:sz w:val="26"/>
          <w:szCs w:val="26"/>
        </w:rPr>
        <w:t xml:space="preserve"> боковых стволов на месторождениях ОАО «СН-МНГ» с целью достижения максимальной эффективности проводки горизонтального участка по коллектору. </w:t>
      </w:r>
    </w:p>
    <w:p w:rsidR="004978E8" w:rsidRPr="004978E8" w:rsidRDefault="004978E8" w:rsidP="004978E8">
      <w:pPr>
        <w:ind w:firstLine="720"/>
        <w:jc w:val="both"/>
        <w:rPr>
          <w:rFonts w:eastAsia="Calibri"/>
          <w:b/>
          <w:sz w:val="26"/>
          <w:szCs w:val="26"/>
        </w:rPr>
      </w:pPr>
    </w:p>
    <w:p w:rsidR="004978E8" w:rsidRPr="004978E8" w:rsidRDefault="004978E8" w:rsidP="004978E8">
      <w:pPr>
        <w:ind w:firstLine="720"/>
        <w:jc w:val="both"/>
        <w:rPr>
          <w:rFonts w:eastAsia="Calibri"/>
          <w:b/>
          <w:bCs/>
          <w:sz w:val="26"/>
          <w:szCs w:val="26"/>
          <w:u w:val="single"/>
        </w:rPr>
      </w:pPr>
      <w:r w:rsidRPr="004978E8">
        <w:rPr>
          <w:rFonts w:eastAsia="Calibri"/>
          <w:b/>
          <w:bCs/>
          <w:sz w:val="26"/>
          <w:szCs w:val="26"/>
          <w:u w:val="single"/>
        </w:rPr>
        <w:t>Работа должна содержать: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В рамках предоставляемых услуг Исполнитель производит следующие работы: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 xml:space="preserve">Получает перечень скважин подлежащих  </w:t>
      </w:r>
      <w:r w:rsidRPr="004978E8">
        <w:rPr>
          <w:b/>
          <w:sz w:val="26"/>
          <w:szCs w:val="26"/>
        </w:rPr>
        <w:t>геологическому сопровождению бурения (</w:t>
      </w:r>
      <w:proofErr w:type="spellStart"/>
      <w:r w:rsidRPr="004978E8">
        <w:rPr>
          <w:b/>
          <w:sz w:val="26"/>
          <w:szCs w:val="26"/>
        </w:rPr>
        <w:t>геонавигации</w:t>
      </w:r>
      <w:proofErr w:type="spellEnd"/>
      <w:r w:rsidRPr="004978E8">
        <w:rPr>
          <w:b/>
          <w:sz w:val="26"/>
          <w:szCs w:val="26"/>
        </w:rPr>
        <w:t xml:space="preserve">) горизонтальных стволов  эксплуатационных  скважин, горизонтальных стволов при </w:t>
      </w:r>
      <w:proofErr w:type="spellStart"/>
      <w:r w:rsidRPr="004978E8">
        <w:rPr>
          <w:b/>
          <w:sz w:val="26"/>
          <w:szCs w:val="26"/>
        </w:rPr>
        <w:t>зарезке</w:t>
      </w:r>
      <w:proofErr w:type="spellEnd"/>
      <w:r w:rsidRPr="004978E8">
        <w:rPr>
          <w:b/>
          <w:sz w:val="26"/>
          <w:szCs w:val="26"/>
        </w:rPr>
        <w:t xml:space="preserve"> боковых стволов</w:t>
      </w:r>
    </w:p>
    <w:p w:rsidR="004978E8" w:rsidRPr="004978E8" w:rsidRDefault="004978E8" w:rsidP="004978E8">
      <w:pPr>
        <w:tabs>
          <w:tab w:val="left" w:pos="567"/>
        </w:tabs>
        <w:ind w:left="567"/>
        <w:jc w:val="both"/>
        <w:rPr>
          <w:rFonts w:eastAsia="Calibri"/>
          <w:b/>
          <w:sz w:val="26"/>
          <w:szCs w:val="26"/>
        </w:rPr>
      </w:pPr>
    </w:p>
    <w:p w:rsidR="004978E8" w:rsidRPr="004978E8" w:rsidRDefault="004978E8" w:rsidP="004978E8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>Предварительное моделирование и планирование.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Перед началом бурения горизонтальной секции каждой скважины Инженер по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 xml:space="preserve"> производит следующие работы:</w:t>
      </w:r>
    </w:p>
    <w:p w:rsidR="004978E8" w:rsidRPr="004978E8" w:rsidRDefault="004978E8" w:rsidP="004978E8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lastRenderedPageBreak/>
        <w:t xml:space="preserve">Сбор, подготовку и контроль качества исходной информации для предварительного моделирования. </w:t>
      </w:r>
    </w:p>
    <w:p w:rsidR="004978E8" w:rsidRPr="004978E8" w:rsidRDefault="004978E8" w:rsidP="004978E8">
      <w:pPr>
        <w:ind w:left="1276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Исходные данные для моделирования предоставляемые Заказчиком: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Карта текущего состояния разработки с отображением транзитного фонта;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Карта накопленных отборов;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Структурная карта;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Карта эффективных </w:t>
      </w:r>
      <w:proofErr w:type="spellStart"/>
      <w:r w:rsidRPr="004978E8">
        <w:rPr>
          <w:rFonts w:eastAsia="Calibri"/>
          <w:sz w:val="26"/>
          <w:szCs w:val="26"/>
        </w:rPr>
        <w:t>нефтерасыщенных</w:t>
      </w:r>
      <w:proofErr w:type="spellEnd"/>
      <w:r w:rsidRPr="004978E8">
        <w:rPr>
          <w:rFonts w:eastAsia="Calibri"/>
          <w:sz w:val="26"/>
          <w:szCs w:val="26"/>
        </w:rPr>
        <w:t xml:space="preserve"> толщин;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Каротажный материал по опорным скважинам в формате LAS, в </w:t>
      </w:r>
      <w:proofErr w:type="spellStart"/>
      <w:r w:rsidRPr="004978E8">
        <w:rPr>
          <w:rFonts w:eastAsia="Calibri"/>
          <w:sz w:val="26"/>
          <w:szCs w:val="26"/>
        </w:rPr>
        <w:t>т.ч</w:t>
      </w:r>
      <w:proofErr w:type="spellEnd"/>
      <w:r w:rsidRPr="004978E8">
        <w:rPr>
          <w:rFonts w:eastAsia="Calibri"/>
          <w:sz w:val="26"/>
          <w:szCs w:val="26"/>
        </w:rPr>
        <w:t>. результаты интерпретации ГИС;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proofErr w:type="spellStart"/>
      <w:r w:rsidRPr="004978E8">
        <w:rPr>
          <w:rFonts w:eastAsia="Calibri"/>
          <w:sz w:val="26"/>
          <w:szCs w:val="26"/>
        </w:rPr>
        <w:t>Инклинометрия</w:t>
      </w:r>
      <w:proofErr w:type="spellEnd"/>
      <w:r w:rsidRPr="004978E8">
        <w:rPr>
          <w:rFonts w:eastAsia="Calibri"/>
          <w:sz w:val="26"/>
          <w:szCs w:val="26"/>
        </w:rPr>
        <w:t xml:space="preserve"> по опорным скважинам в формате LAS, </w:t>
      </w:r>
      <w:proofErr w:type="spellStart"/>
      <w:r w:rsidRPr="004978E8">
        <w:rPr>
          <w:rFonts w:eastAsia="Calibri"/>
          <w:sz w:val="26"/>
          <w:szCs w:val="26"/>
        </w:rPr>
        <w:t>txt</w:t>
      </w:r>
      <w:proofErr w:type="spellEnd"/>
      <w:r w:rsidRPr="004978E8">
        <w:rPr>
          <w:rFonts w:eastAsia="Calibri"/>
          <w:sz w:val="26"/>
          <w:szCs w:val="26"/>
        </w:rPr>
        <w:t xml:space="preserve">, </w:t>
      </w:r>
      <w:proofErr w:type="spellStart"/>
      <w:r w:rsidRPr="004978E8">
        <w:rPr>
          <w:rFonts w:eastAsia="Calibri"/>
          <w:sz w:val="26"/>
          <w:szCs w:val="26"/>
        </w:rPr>
        <w:t>xls</w:t>
      </w:r>
      <w:proofErr w:type="spellEnd"/>
      <w:r w:rsidRPr="004978E8">
        <w:rPr>
          <w:rFonts w:eastAsia="Calibri"/>
          <w:sz w:val="26"/>
          <w:szCs w:val="26"/>
        </w:rPr>
        <w:t>;</w:t>
      </w:r>
    </w:p>
    <w:p w:rsidR="004978E8" w:rsidRPr="004978E8" w:rsidRDefault="004978E8" w:rsidP="004978E8">
      <w:pPr>
        <w:numPr>
          <w:ilvl w:val="0"/>
          <w:numId w:val="17"/>
        </w:numPr>
        <w:tabs>
          <w:tab w:val="left" w:pos="1560"/>
        </w:tabs>
        <w:ind w:left="1560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Плановая траектория скважины.</w:t>
      </w:r>
    </w:p>
    <w:p w:rsidR="004978E8" w:rsidRPr="004978E8" w:rsidRDefault="004978E8" w:rsidP="004978E8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Создание модели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>. Расчет синтетических каротажных диаграмм методов ГИС, планируемых к регистрации в скважине, на основе имеющихся материалов ГИС по соседним скважинам и структурных построений по месторождению в специализированном программном комплексе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 xml:space="preserve">; и т.д.)  </w:t>
      </w:r>
    </w:p>
    <w:p w:rsidR="004978E8" w:rsidRPr="004978E8" w:rsidRDefault="004978E8" w:rsidP="004978E8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После предварительного моделирования в </w:t>
      </w:r>
      <w:proofErr w:type="spellStart"/>
      <w:proofErr w:type="gramStart"/>
      <w:r w:rsidRPr="004978E8">
        <w:rPr>
          <w:rFonts w:eastAsia="Calibri"/>
          <w:sz w:val="26"/>
          <w:szCs w:val="26"/>
        </w:rPr>
        <w:t>в</w:t>
      </w:r>
      <w:proofErr w:type="spellEnd"/>
      <w:proofErr w:type="gramEnd"/>
      <w:r w:rsidRPr="004978E8">
        <w:rPr>
          <w:rFonts w:eastAsia="Calibri"/>
          <w:sz w:val="26"/>
          <w:szCs w:val="26"/>
        </w:rPr>
        <w:t xml:space="preserve"> специализированном программном комплексе Исполнитель участвует в совещании с представителями Заказчика для обсуждения результатов работы. Результаты предварительного моделирования  принимаются Заказчиком и при необходимости, корректируются Исполнителем.</w:t>
      </w:r>
    </w:p>
    <w:p w:rsidR="004978E8" w:rsidRPr="004978E8" w:rsidRDefault="004978E8" w:rsidP="004978E8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Разработка и согласование геологических задач на горизонтальную скважину, критериев оценки успешности выполнения работ Исполнителем, требований к проводке скважины.</w:t>
      </w:r>
    </w:p>
    <w:p w:rsidR="004978E8" w:rsidRPr="004978E8" w:rsidRDefault="004978E8" w:rsidP="004978E8">
      <w:pPr>
        <w:numPr>
          <w:ilvl w:val="0"/>
          <w:numId w:val="16"/>
        </w:numPr>
        <w:tabs>
          <w:tab w:val="left" w:pos="1276"/>
        </w:tabs>
        <w:ind w:left="1276" w:hanging="709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Определение и согласование  схемы взаимодействия сторон (Заказчик, группа по </w:t>
      </w:r>
      <w:proofErr w:type="spellStart"/>
      <w:r w:rsidRPr="004978E8">
        <w:rPr>
          <w:rFonts w:eastAsia="Calibri"/>
          <w:sz w:val="26"/>
          <w:szCs w:val="26"/>
        </w:rPr>
        <w:t>генавигации</w:t>
      </w:r>
      <w:proofErr w:type="spellEnd"/>
      <w:r w:rsidRPr="004978E8">
        <w:rPr>
          <w:rFonts w:eastAsia="Calibri"/>
          <w:sz w:val="26"/>
          <w:szCs w:val="26"/>
        </w:rPr>
        <w:t xml:space="preserve">, подрядчик по бурению, подрядчик по ННБ, ГТИ и пр.) в процессе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>.</w:t>
      </w:r>
    </w:p>
    <w:p w:rsidR="004978E8" w:rsidRPr="004978E8" w:rsidRDefault="004978E8" w:rsidP="004978E8">
      <w:pPr>
        <w:tabs>
          <w:tab w:val="left" w:pos="1276"/>
        </w:tabs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tabs>
          <w:tab w:val="left" w:pos="1276"/>
        </w:tabs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Результатом данного этапа являются модели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 xml:space="preserve"> в специализированном программном комплексе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>; и т.д.), с синтетическими кривыми ГИС планируемых к записи в процессе бурения, по каждой скважине. Согласованные цели и задачи на горизонтальный ствол, критерии успешности работы и схема взаимодействия участников процесса.</w:t>
      </w:r>
    </w:p>
    <w:p w:rsidR="004978E8" w:rsidRPr="004978E8" w:rsidRDefault="004978E8" w:rsidP="004978E8">
      <w:pPr>
        <w:tabs>
          <w:tab w:val="left" w:pos="1276"/>
        </w:tabs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Материалы по данному этапу согласуются и подписываются сторонами.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>Круглосуточное геологическое сопровождение бурения скважины.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Организацию передачи оперативной информации, от задействованных в процессе сторон, для выполнения работ по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 xml:space="preserve"> берет на себя Заказчик. Передача данных осуществляется по электронной почте каждый интервал, согласованный сторонами на этапе планирования скважины, согласно утвержденному списку рассылки в следующем объеме:</w:t>
      </w:r>
    </w:p>
    <w:p w:rsidR="004978E8" w:rsidRPr="004978E8" w:rsidRDefault="004978E8" w:rsidP="004978E8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Фактические кривые ГИС-</w:t>
      </w:r>
      <w:proofErr w:type="gramStart"/>
      <w:r w:rsidRPr="004978E8">
        <w:rPr>
          <w:rFonts w:eastAsia="Calibri"/>
          <w:sz w:val="26"/>
          <w:szCs w:val="26"/>
        </w:rPr>
        <w:t>LWD</w:t>
      </w:r>
      <w:proofErr w:type="gramEnd"/>
      <w:r w:rsidRPr="004978E8">
        <w:rPr>
          <w:rFonts w:eastAsia="Calibri"/>
          <w:sz w:val="26"/>
          <w:szCs w:val="26"/>
        </w:rPr>
        <w:t xml:space="preserve"> в формате LAS;</w:t>
      </w:r>
    </w:p>
    <w:p w:rsidR="004978E8" w:rsidRPr="004978E8" w:rsidRDefault="004978E8" w:rsidP="004978E8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Фактическая </w:t>
      </w:r>
      <w:proofErr w:type="spellStart"/>
      <w:r w:rsidRPr="004978E8">
        <w:rPr>
          <w:rFonts w:eastAsia="Calibri"/>
          <w:sz w:val="26"/>
          <w:szCs w:val="26"/>
        </w:rPr>
        <w:t>инклинометрия</w:t>
      </w:r>
      <w:proofErr w:type="spellEnd"/>
      <w:r w:rsidRPr="004978E8">
        <w:rPr>
          <w:rFonts w:eastAsia="Calibri"/>
          <w:sz w:val="26"/>
          <w:szCs w:val="26"/>
        </w:rPr>
        <w:t xml:space="preserve"> ствола скважины (</w:t>
      </w:r>
      <w:r w:rsidRPr="004978E8">
        <w:rPr>
          <w:rFonts w:eastAsia="Calibri"/>
          <w:sz w:val="26"/>
          <w:szCs w:val="26"/>
          <w:lang w:val="en-US"/>
        </w:rPr>
        <w:t>MD</w:t>
      </w:r>
      <w:r w:rsidRPr="004978E8">
        <w:rPr>
          <w:rFonts w:eastAsia="Calibri"/>
          <w:sz w:val="26"/>
          <w:szCs w:val="26"/>
        </w:rPr>
        <w:t xml:space="preserve">, </w:t>
      </w:r>
      <w:r w:rsidRPr="004978E8">
        <w:rPr>
          <w:rFonts w:eastAsia="Calibri"/>
          <w:sz w:val="26"/>
          <w:szCs w:val="26"/>
          <w:lang w:val="en-US"/>
        </w:rPr>
        <w:t>INCL</w:t>
      </w:r>
      <w:r w:rsidRPr="004978E8">
        <w:rPr>
          <w:rFonts w:eastAsia="Calibri"/>
          <w:sz w:val="26"/>
          <w:szCs w:val="26"/>
        </w:rPr>
        <w:t xml:space="preserve">, </w:t>
      </w:r>
      <w:r w:rsidRPr="004978E8">
        <w:rPr>
          <w:rFonts w:eastAsia="Calibri"/>
          <w:sz w:val="26"/>
          <w:szCs w:val="26"/>
          <w:lang w:val="en-US"/>
        </w:rPr>
        <w:t>AZIM</w:t>
      </w:r>
      <w:r w:rsidRPr="004978E8">
        <w:rPr>
          <w:rFonts w:eastAsia="Calibri"/>
          <w:sz w:val="26"/>
          <w:szCs w:val="26"/>
        </w:rPr>
        <w:t xml:space="preserve">, альтитуда и т.д.) в формате </w:t>
      </w:r>
      <w:proofErr w:type="spellStart"/>
      <w:r w:rsidRPr="004978E8">
        <w:rPr>
          <w:rFonts w:eastAsia="Calibri"/>
          <w:sz w:val="26"/>
          <w:szCs w:val="26"/>
        </w:rPr>
        <w:t>xls</w:t>
      </w:r>
      <w:proofErr w:type="spellEnd"/>
      <w:r w:rsidRPr="004978E8">
        <w:rPr>
          <w:rFonts w:eastAsia="Calibri"/>
          <w:sz w:val="26"/>
          <w:szCs w:val="26"/>
        </w:rPr>
        <w:t>;</w:t>
      </w:r>
    </w:p>
    <w:p w:rsidR="004978E8" w:rsidRPr="004978E8" w:rsidRDefault="004978E8" w:rsidP="004978E8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ГТИ (</w:t>
      </w:r>
      <w:proofErr w:type="spellStart"/>
      <w:r w:rsidRPr="004978E8">
        <w:rPr>
          <w:rFonts w:eastAsia="Calibri"/>
          <w:sz w:val="26"/>
          <w:szCs w:val="26"/>
        </w:rPr>
        <w:t>газокаротаж</w:t>
      </w:r>
      <w:proofErr w:type="spellEnd"/>
      <w:r w:rsidRPr="004978E8">
        <w:rPr>
          <w:rFonts w:eastAsia="Calibri"/>
          <w:sz w:val="26"/>
          <w:szCs w:val="26"/>
        </w:rPr>
        <w:t xml:space="preserve">, </w:t>
      </w:r>
      <w:proofErr w:type="spellStart"/>
      <w:r w:rsidRPr="004978E8">
        <w:rPr>
          <w:rFonts w:eastAsia="Calibri"/>
          <w:sz w:val="26"/>
          <w:szCs w:val="26"/>
        </w:rPr>
        <w:t>шламограмма</w:t>
      </w:r>
      <w:proofErr w:type="spellEnd"/>
      <w:r w:rsidRPr="004978E8">
        <w:rPr>
          <w:rFonts w:eastAsia="Calibri"/>
          <w:sz w:val="26"/>
          <w:szCs w:val="26"/>
        </w:rPr>
        <w:t xml:space="preserve">, в формате </w:t>
      </w:r>
      <w:proofErr w:type="spellStart"/>
      <w:r w:rsidRPr="004978E8">
        <w:rPr>
          <w:rFonts w:eastAsia="Calibri"/>
          <w:sz w:val="26"/>
          <w:szCs w:val="26"/>
        </w:rPr>
        <w:t>xls</w:t>
      </w:r>
      <w:proofErr w:type="spellEnd"/>
      <w:r w:rsidRPr="004978E8">
        <w:rPr>
          <w:rFonts w:eastAsia="Calibri"/>
          <w:sz w:val="26"/>
          <w:szCs w:val="26"/>
        </w:rPr>
        <w:t>);</w:t>
      </w:r>
    </w:p>
    <w:p w:rsidR="004978E8" w:rsidRPr="004978E8" w:rsidRDefault="004978E8" w:rsidP="004978E8">
      <w:pPr>
        <w:numPr>
          <w:ilvl w:val="0"/>
          <w:numId w:val="18"/>
        </w:numPr>
        <w:tabs>
          <w:tab w:val="left" w:pos="851"/>
        </w:tabs>
        <w:ind w:left="851" w:hanging="284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Ежесуточные сводки от подрядчика по бурению и ННБ о ходе работ на буровой в формате </w:t>
      </w:r>
      <w:proofErr w:type="spellStart"/>
      <w:r w:rsidRPr="004978E8">
        <w:rPr>
          <w:rFonts w:eastAsia="Calibri"/>
          <w:sz w:val="26"/>
          <w:szCs w:val="26"/>
        </w:rPr>
        <w:t>xls</w:t>
      </w:r>
      <w:proofErr w:type="spellEnd"/>
      <w:r w:rsidRPr="004978E8">
        <w:rPr>
          <w:rFonts w:eastAsia="Calibri"/>
          <w:sz w:val="26"/>
          <w:szCs w:val="26"/>
        </w:rPr>
        <w:t xml:space="preserve">, </w:t>
      </w:r>
      <w:proofErr w:type="spellStart"/>
      <w:r w:rsidRPr="004978E8">
        <w:rPr>
          <w:rFonts w:eastAsia="Calibri"/>
          <w:sz w:val="26"/>
          <w:szCs w:val="26"/>
        </w:rPr>
        <w:t>doc</w:t>
      </w:r>
      <w:proofErr w:type="spellEnd"/>
      <w:r w:rsidRPr="004978E8">
        <w:rPr>
          <w:rFonts w:eastAsia="Calibri"/>
          <w:sz w:val="26"/>
          <w:szCs w:val="26"/>
        </w:rPr>
        <w:t>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</w:p>
    <w:p w:rsid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Круглосуточное геологическое сопровождение бурения скважины начинается </w:t>
      </w:r>
      <w:proofErr w:type="gramStart"/>
      <w:r w:rsidRPr="004978E8">
        <w:rPr>
          <w:rFonts w:eastAsia="Calibri"/>
          <w:sz w:val="26"/>
          <w:szCs w:val="26"/>
        </w:rPr>
        <w:t>согласно плана</w:t>
      </w:r>
      <w:proofErr w:type="gramEnd"/>
      <w:r w:rsidRPr="004978E8">
        <w:rPr>
          <w:rFonts w:eastAsia="Calibri"/>
          <w:sz w:val="26"/>
          <w:szCs w:val="26"/>
        </w:rPr>
        <w:t xml:space="preserve"> работ, согласованного сторонами, т.е. работа может начинаться с определенной глубины по стволу скважины (например, 200 или 300 метров до целевого интервала).</w:t>
      </w:r>
    </w:p>
    <w:p w:rsidR="00B52593" w:rsidRPr="004978E8" w:rsidRDefault="00B52593" w:rsidP="004978E8">
      <w:pPr>
        <w:jc w:val="both"/>
        <w:rPr>
          <w:rFonts w:eastAsia="Calibri"/>
          <w:sz w:val="26"/>
          <w:szCs w:val="26"/>
        </w:rPr>
      </w:pPr>
    </w:p>
    <w:p w:rsidR="004978E8" w:rsidRPr="004978E8" w:rsidRDefault="00B52593" w:rsidP="004978E8">
      <w:pPr>
        <w:jc w:val="both"/>
        <w:rPr>
          <w:rFonts w:eastAsia="Calibri"/>
          <w:sz w:val="26"/>
          <w:szCs w:val="26"/>
        </w:rPr>
      </w:pPr>
      <w:r w:rsidRPr="00B52593">
        <w:rPr>
          <w:rFonts w:eastAsia="Calibri"/>
          <w:sz w:val="26"/>
          <w:szCs w:val="26"/>
        </w:rPr>
        <w:t xml:space="preserve">После получения данных с буровой, Исполнитель обрабатывает, анализирует информацию и формирует свои рекомендации исходя из межскважинной корреляции  и сопоставления синтетических кривых с данными каротажа, полученного в процессе бурения скважины, и </w:t>
      </w:r>
      <w:proofErr w:type="gramStart"/>
      <w:r w:rsidRPr="00B52593">
        <w:rPr>
          <w:rFonts w:eastAsia="Calibri"/>
          <w:sz w:val="26"/>
          <w:szCs w:val="26"/>
        </w:rPr>
        <w:t>предоставляет оперативный отчет</w:t>
      </w:r>
      <w:proofErr w:type="gramEnd"/>
      <w:r w:rsidRPr="00B52593">
        <w:rPr>
          <w:rFonts w:eastAsia="Calibri"/>
          <w:sz w:val="26"/>
          <w:szCs w:val="26"/>
        </w:rPr>
        <w:t xml:space="preserve"> по утвержденному списку рассылки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В случае необходимости оперативной корректировки траектории скважины Исполнитель уведомляет Заказчика по средствам рекомендации на корректировку траектории. После обсуждения с представителями Заказчика данной информации, траектория горизонтальной скважины может быть скорректирована Заказчиком, если иного не оговорено в согласованной схеме взаимодействия.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Каждая рекомендация Исполнителя должна быть подтверждена или отклонена Заказчиком в письменной форме по электронной почте. В случае принятия, каких либо решений по корректировке траектории скважины Заказчиком без участия Исполнителя, Заказчик оповещает Исполнителя об этом по электронной почте.</w:t>
      </w:r>
    </w:p>
    <w:p w:rsidR="004978E8" w:rsidRPr="004978E8" w:rsidRDefault="004978E8" w:rsidP="004978E8">
      <w:pPr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Так же Исполнителем передаются Заказчику ежедневные отчёты по 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 xml:space="preserve"> по утверждённому списку рассылки 2 раза в сутки. Отчеты оформляются в виде презентаций в формате *.</w:t>
      </w:r>
      <w:proofErr w:type="spellStart"/>
      <w:r w:rsidRPr="004978E8">
        <w:rPr>
          <w:rFonts w:eastAsia="Calibri"/>
          <w:sz w:val="26"/>
          <w:szCs w:val="26"/>
          <w:lang w:val="en-US"/>
        </w:rPr>
        <w:t>ppt</w:t>
      </w:r>
      <w:proofErr w:type="spellEnd"/>
      <w:r w:rsidRPr="004978E8">
        <w:rPr>
          <w:rFonts w:eastAsia="Calibri"/>
          <w:sz w:val="26"/>
          <w:szCs w:val="26"/>
        </w:rPr>
        <w:t xml:space="preserve"> и проект по геологическому сопровождению бурения в специализированном программном комплексе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 xml:space="preserve">; и т.д.). </w:t>
      </w:r>
    </w:p>
    <w:p w:rsidR="004978E8" w:rsidRPr="004978E8" w:rsidRDefault="004978E8" w:rsidP="004978E8">
      <w:pPr>
        <w:numPr>
          <w:ilvl w:val="0"/>
          <w:numId w:val="15"/>
        </w:numPr>
        <w:tabs>
          <w:tab w:val="left" w:pos="567"/>
        </w:tabs>
        <w:ind w:left="567" w:hanging="567"/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t>Финальный отчет</w:t>
      </w:r>
    </w:p>
    <w:p w:rsidR="004978E8" w:rsidRPr="004978E8" w:rsidRDefault="004978E8" w:rsidP="004978E8">
      <w:pPr>
        <w:tabs>
          <w:tab w:val="left" w:pos="567"/>
        </w:tabs>
        <w:ind w:left="567"/>
        <w:jc w:val="both"/>
        <w:rPr>
          <w:rFonts w:eastAsia="Calibri"/>
          <w:sz w:val="26"/>
          <w:szCs w:val="26"/>
        </w:rPr>
      </w:pP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По завершению бурения скважины Заказчику передается финальный отчет по проводке скважины, который включает </w:t>
      </w:r>
      <w:proofErr w:type="spellStart"/>
      <w:r w:rsidRPr="004978E8">
        <w:rPr>
          <w:rFonts w:eastAsia="Calibri"/>
          <w:sz w:val="26"/>
          <w:szCs w:val="26"/>
        </w:rPr>
        <w:t>геонавигационную</w:t>
      </w:r>
      <w:proofErr w:type="spellEnd"/>
      <w:r w:rsidRPr="004978E8">
        <w:rPr>
          <w:rFonts w:eastAsia="Calibri"/>
          <w:sz w:val="26"/>
          <w:szCs w:val="26"/>
        </w:rPr>
        <w:t xml:space="preserve"> модель в специализированном программном комплексе с результатами сопоставления фактического и синтетического каротажа с привязкой горизонтального ствола скважины к вертикальному разрезу пласта.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Финальный отчет по каждой скважине предоставляется Заказчику не позднее 72 часов после завершения бурения скважины в виде бумажной копии и электронной копии в виде презентаций в формате *.</w:t>
      </w:r>
      <w:proofErr w:type="spellStart"/>
      <w:r w:rsidRPr="004978E8">
        <w:rPr>
          <w:rFonts w:eastAsia="Calibri"/>
          <w:sz w:val="26"/>
          <w:szCs w:val="26"/>
          <w:lang w:val="en-US"/>
        </w:rPr>
        <w:t>ppt</w:t>
      </w:r>
      <w:proofErr w:type="spellEnd"/>
      <w:r w:rsidRPr="004978E8">
        <w:rPr>
          <w:rFonts w:eastAsia="Calibri"/>
          <w:sz w:val="26"/>
          <w:szCs w:val="26"/>
        </w:rPr>
        <w:t>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Результатом работы по интерактивному сопровождению бурения должны являться конкретные рекомендации Исполнителя по корректировке и оптимизации расположения стволов скважин в продуктивном пласте с обоснованием необходимости таких изменений, направленные на достижение геологических целей и задач на скважину.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Заказчику передаются финальные информационные отчеты по каждой скважине.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proofErr w:type="spellStart"/>
      <w:r w:rsidRPr="004978E8">
        <w:rPr>
          <w:rFonts w:eastAsia="Calibri"/>
          <w:sz w:val="26"/>
          <w:szCs w:val="26"/>
        </w:rPr>
        <w:t>Геонавигационная</w:t>
      </w:r>
      <w:proofErr w:type="spellEnd"/>
      <w:r w:rsidRPr="004978E8">
        <w:rPr>
          <w:rFonts w:eastAsia="Calibri"/>
          <w:sz w:val="26"/>
          <w:szCs w:val="26"/>
        </w:rPr>
        <w:t xml:space="preserve"> модель в специализированном программном комплексе («</w:t>
      </w:r>
      <w:proofErr w:type="spellStart"/>
      <w:r w:rsidRPr="004978E8">
        <w:rPr>
          <w:rFonts w:eastAsia="Calibri"/>
          <w:sz w:val="26"/>
          <w:szCs w:val="26"/>
        </w:rPr>
        <w:t>Геонафт</w:t>
      </w:r>
      <w:proofErr w:type="spellEnd"/>
      <w:r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Pr="004978E8">
        <w:rPr>
          <w:rFonts w:eastAsia="Calibri"/>
          <w:sz w:val="26"/>
          <w:szCs w:val="26"/>
        </w:rPr>
        <w:t xml:space="preserve"> </w:t>
      </w:r>
      <w:r w:rsidRPr="004978E8">
        <w:rPr>
          <w:rFonts w:eastAsia="Calibri"/>
          <w:sz w:val="26"/>
          <w:szCs w:val="26"/>
          <w:lang w:val="en-US"/>
        </w:rPr>
        <w:t>Petrel</w:t>
      </w:r>
      <w:r w:rsidRPr="004978E8">
        <w:rPr>
          <w:rFonts w:eastAsia="Calibri"/>
          <w:sz w:val="26"/>
          <w:szCs w:val="26"/>
        </w:rPr>
        <w:t>; и т.д.) по каждой пробуренной скважине.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Промежуточный отчёт по завершению календарного месяца.</w:t>
      </w:r>
    </w:p>
    <w:p w:rsidR="004978E8" w:rsidRPr="004978E8" w:rsidRDefault="004978E8" w:rsidP="004978E8">
      <w:pPr>
        <w:numPr>
          <w:ilvl w:val="0"/>
          <w:numId w:val="19"/>
        </w:numPr>
        <w:tabs>
          <w:tab w:val="left" w:pos="0"/>
        </w:tabs>
        <w:ind w:left="0" w:firstLine="142"/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>Окончательный отчёт по завершению выполнения договора.</w:t>
      </w:r>
    </w:p>
    <w:p w:rsidR="004978E8" w:rsidRPr="004978E8" w:rsidRDefault="004978E8" w:rsidP="004978E8">
      <w:pPr>
        <w:spacing w:before="120"/>
        <w:jc w:val="both"/>
        <w:rPr>
          <w:rFonts w:eastAsia="Calibri"/>
          <w:b/>
          <w:sz w:val="26"/>
          <w:szCs w:val="26"/>
        </w:rPr>
      </w:pPr>
    </w:p>
    <w:p w:rsidR="004978E8" w:rsidRPr="004978E8" w:rsidRDefault="004978E8" w:rsidP="004978E8">
      <w:pPr>
        <w:numPr>
          <w:ilvl w:val="0"/>
          <w:numId w:val="15"/>
        </w:numPr>
        <w:tabs>
          <w:tab w:val="left" w:pos="567"/>
        </w:tabs>
        <w:jc w:val="both"/>
        <w:rPr>
          <w:rFonts w:eastAsia="Calibri"/>
          <w:b/>
          <w:sz w:val="26"/>
          <w:szCs w:val="26"/>
        </w:rPr>
      </w:pPr>
      <w:r w:rsidRPr="004978E8">
        <w:rPr>
          <w:rFonts w:eastAsia="Calibri"/>
          <w:b/>
          <w:sz w:val="26"/>
          <w:szCs w:val="26"/>
        </w:rPr>
        <w:lastRenderedPageBreak/>
        <w:t>Особые требования:</w:t>
      </w:r>
    </w:p>
    <w:p w:rsidR="004978E8" w:rsidRPr="004978E8" w:rsidRDefault="004978E8" w:rsidP="00B52593">
      <w:pPr>
        <w:numPr>
          <w:ilvl w:val="1"/>
          <w:numId w:val="22"/>
        </w:numPr>
        <w:tabs>
          <w:tab w:val="left" w:pos="426"/>
        </w:tabs>
        <w:jc w:val="both"/>
        <w:rPr>
          <w:rFonts w:eastAsia="Calibri"/>
          <w:sz w:val="26"/>
          <w:szCs w:val="26"/>
        </w:rPr>
      </w:pPr>
      <w:r w:rsidRPr="004978E8">
        <w:rPr>
          <w:rFonts w:eastAsia="Calibri"/>
          <w:sz w:val="26"/>
          <w:szCs w:val="26"/>
        </w:rPr>
        <w:t xml:space="preserve"> Исполнитель </w:t>
      </w:r>
      <w:r w:rsidR="00B52593">
        <w:rPr>
          <w:rFonts w:eastAsia="Calibri"/>
          <w:sz w:val="26"/>
          <w:szCs w:val="26"/>
        </w:rPr>
        <w:t>должен обладать</w:t>
      </w:r>
      <w:r w:rsidRPr="004978E8">
        <w:rPr>
          <w:rFonts w:eastAsia="Calibri"/>
          <w:sz w:val="26"/>
          <w:szCs w:val="26"/>
        </w:rPr>
        <w:t xml:space="preserve"> постоянно действующ</w:t>
      </w:r>
      <w:r w:rsidR="00B52593">
        <w:rPr>
          <w:rFonts w:eastAsia="Calibri"/>
          <w:sz w:val="26"/>
          <w:szCs w:val="26"/>
        </w:rPr>
        <w:t>ей</w:t>
      </w:r>
      <w:r w:rsidRPr="004978E8">
        <w:rPr>
          <w:rFonts w:eastAsia="Calibri"/>
          <w:sz w:val="26"/>
          <w:szCs w:val="26"/>
        </w:rPr>
        <w:t xml:space="preserve"> рабоч</w:t>
      </w:r>
      <w:r w:rsidR="00B52593">
        <w:rPr>
          <w:rFonts w:eastAsia="Calibri"/>
          <w:sz w:val="26"/>
          <w:szCs w:val="26"/>
        </w:rPr>
        <w:t>ей</w:t>
      </w:r>
      <w:r w:rsidRPr="004978E8">
        <w:rPr>
          <w:rFonts w:eastAsia="Calibri"/>
          <w:sz w:val="26"/>
          <w:szCs w:val="26"/>
        </w:rPr>
        <w:t xml:space="preserve"> групп</w:t>
      </w:r>
      <w:r w:rsidR="00B52593">
        <w:rPr>
          <w:rFonts w:eastAsia="Calibri"/>
          <w:sz w:val="26"/>
          <w:szCs w:val="26"/>
        </w:rPr>
        <w:t>ой</w:t>
      </w:r>
      <w:r w:rsidRPr="004978E8">
        <w:rPr>
          <w:rFonts w:eastAsia="Calibri"/>
          <w:sz w:val="26"/>
          <w:szCs w:val="26"/>
        </w:rPr>
        <w:t xml:space="preserve"> из специалистов с квалификацией достаточной для </w:t>
      </w:r>
      <w:r w:rsidR="00B52593">
        <w:rPr>
          <w:rFonts w:eastAsia="Calibri"/>
          <w:sz w:val="26"/>
          <w:szCs w:val="26"/>
        </w:rPr>
        <w:t>оказания качественных сервисных услуг</w:t>
      </w:r>
      <w:r w:rsidRPr="004978E8">
        <w:rPr>
          <w:rFonts w:eastAsia="Calibri"/>
          <w:sz w:val="26"/>
          <w:szCs w:val="26"/>
        </w:rPr>
        <w:t xml:space="preserve"> по геологическому сопровождению бурения (</w:t>
      </w:r>
      <w:proofErr w:type="spellStart"/>
      <w:r w:rsidRPr="004978E8">
        <w:rPr>
          <w:rFonts w:eastAsia="Calibri"/>
          <w:sz w:val="26"/>
          <w:szCs w:val="26"/>
        </w:rPr>
        <w:t>геонавигации</w:t>
      </w:r>
      <w:proofErr w:type="spellEnd"/>
      <w:r w:rsidRPr="004978E8">
        <w:rPr>
          <w:rFonts w:eastAsia="Calibri"/>
          <w:sz w:val="26"/>
          <w:szCs w:val="26"/>
        </w:rPr>
        <w:t>) горизонтальных стволов  эксплуатационных  скважин, горизонтальных ствол</w:t>
      </w:r>
      <w:r w:rsidR="00B52593">
        <w:rPr>
          <w:rFonts w:eastAsia="Calibri"/>
          <w:sz w:val="26"/>
          <w:szCs w:val="26"/>
        </w:rPr>
        <w:t xml:space="preserve">ов при </w:t>
      </w:r>
      <w:proofErr w:type="spellStart"/>
      <w:r w:rsidR="00B52593">
        <w:rPr>
          <w:rFonts w:eastAsia="Calibri"/>
          <w:sz w:val="26"/>
          <w:szCs w:val="26"/>
        </w:rPr>
        <w:t>зарезке</w:t>
      </w:r>
      <w:proofErr w:type="spellEnd"/>
      <w:r w:rsidR="00B52593">
        <w:rPr>
          <w:rFonts w:eastAsia="Calibri"/>
          <w:sz w:val="26"/>
          <w:szCs w:val="26"/>
        </w:rPr>
        <w:t xml:space="preserve"> боковых стволов в объеме </w:t>
      </w:r>
      <w:r w:rsidRPr="004978E8">
        <w:rPr>
          <w:rFonts w:eastAsia="Calibri"/>
          <w:sz w:val="26"/>
          <w:szCs w:val="26"/>
        </w:rPr>
        <w:t>3 (трех) скважин в смену.</w:t>
      </w:r>
    </w:p>
    <w:p w:rsidR="004978E8" w:rsidRPr="004978E8" w:rsidRDefault="00B52593" w:rsidP="004978E8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5.2</w:t>
      </w:r>
      <w:r w:rsidR="004978E8" w:rsidRPr="004978E8">
        <w:rPr>
          <w:rFonts w:eastAsia="Calibri"/>
          <w:sz w:val="26"/>
          <w:szCs w:val="26"/>
        </w:rPr>
        <w:t>.Заказчик отвечает за своевременное и полноценное предоставление всей требуемой для выполнения поставленных задач геологической, геофизической и технологической информации.</w:t>
      </w:r>
    </w:p>
    <w:p w:rsidR="004978E8" w:rsidRPr="004978E8" w:rsidRDefault="00B52593" w:rsidP="00B52593">
      <w:pPr>
        <w:tabs>
          <w:tab w:val="left" w:pos="426"/>
        </w:tabs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5.3. </w:t>
      </w:r>
      <w:r w:rsidR="004978E8" w:rsidRPr="004978E8">
        <w:rPr>
          <w:rFonts w:eastAsia="Calibri"/>
          <w:sz w:val="26"/>
          <w:szCs w:val="26"/>
        </w:rPr>
        <w:t>Все работы по сопровождению бурения должны проводятся с использованием методов двухмерного синтетического каротажа в специализированном программном комплексе («</w:t>
      </w:r>
      <w:proofErr w:type="spellStart"/>
      <w:r w:rsidR="004978E8" w:rsidRPr="004978E8">
        <w:rPr>
          <w:rFonts w:eastAsia="Calibri"/>
          <w:sz w:val="26"/>
          <w:szCs w:val="26"/>
        </w:rPr>
        <w:t>Геонафт</w:t>
      </w:r>
      <w:proofErr w:type="spellEnd"/>
      <w:r w:rsidR="004978E8" w:rsidRPr="004978E8">
        <w:rPr>
          <w:rFonts w:eastAsia="Calibri"/>
          <w:sz w:val="26"/>
          <w:szCs w:val="26"/>
        </w:rPr>
        <w:t xml:space="preserve">»;   модуль </w:t>
      </w:r>
      <w:proofErr w:type="spellStart"/>
      <w:r w:rsidR="004978E8" w:rsidRPr="004978E8">
        <w:rPr>
          <w:rFonts w:eastAsia="Calibri"/>
          <w:sz w:val="26"/>
          <w:szCs w:val="26"/>
          <w:lang w:val="en-US"/>
        </w:rPr>
        <w:t>Geosteering</w:t>
      </w:r>
      <w:proofErr w:type="spellEnd"/>
      <w:r w:rsidR="004978E8" w:rsidRPr="004978E8">
        <w:rPr>
          <w:rFonts w:eastAsia="Calibri"/>
          <w:sz w:val="26"/>
          <w:szCs w:val="26"/>
        </w:rPr>
        <w:t xml:space="preserve"> </w:t>
      </w:r>
      <w:r w:rsidR="004978E8" w:rsidRPr="004978E8">
        <w:rPr>
          <w:rFonts w:eastAsia="Calibri"/>
          <w:sz w:val="26"/>
          <w:szCs w:val="26"/>
          <w:lang w:val="en-US"/>
        </w:rPr>
        <w:t>Petrel</w:t>
      </w:r>
      <w:r w:rsidR="004978E8" w:rsidRPr="004978E8">
        <w:rPr>
          <w:rFonts w:eastAsia="Calibri"/>
          <w:sz w:val="26"/>
          <w:szCs w:val="26"/>
        </w:rPr>
        <w:t>; и т.д.).</w:t>
      </w:r>
    </w:p>
    <w:p w:rsidR="004978E8" w:rsidRPr="00D96FC8" w:rsidRDefault="004978E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F4555A" w:rsidRDefault="00F4555A" w:rsidP="00F4555A">
      <w:pPr>
        <w:numPr>
          <w:ilvl w:val="0"/>
          <w:numId w:val="15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</w:t>
      </w: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Cs w:val="1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6349C3" w:rsidRPr="00605A96" w:rsidRDefault="006349C3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637" w:rsidRDefault="00775637">
      <w:r>
        <w:separator/>
      </w:r>
    </w:p>
  </w:endnote>
  <w:endnote w:type="continuationSeparator" w:id="0">
    <w:p w:rsidR="00775637" w:rsidRDefault="00775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637" w:rsidRDefault="00775637">
      <w:r>
        <w:separator/>
      </w:r>
    </w:p>
  </w:footnote>
  <w:footnote w:type="continuationSeparator" w:id="0">
    <w:p w:rsidR="00775637" w:rsidRDefault="00775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5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70484B6C"/>
    <w:multiLevelType w:val="multilevel"/>
    <w:tmpl w:val="4F96C5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8"/>
  </w:num>
  <w:num w:numId="4">
    <w:abstractNumId w:val="11"/>
  </w:num>
  <w:num w:numId="5">
    <w:abstractNumId w:val="13"/>
  </w:num>
  <w:num w:numId="6">
    <w:abstractNumId w:val="21"/>
  </w:num>
  <w:num w:numId="7">
    <w:abstractNumId w:val="1"/>
  </w:num>
  <w:num w:numId="8">
    <w:abstractNumId w:val="7"/>
  </w:num>
  <w:num w:numId="9">
    <w:abstractNumId w:val="15"/>
  </w:num>
  <w:num w:numId="10">
    <w:abstractNumId w:val="8"/>
  </w:num>
  <w:num w:numId="11">
    <w:abstractNumId w:val="20"/>
  </w:num>
  <w:num w:numId="12">
    <w:abstractNumId w:val="6"/>
  </w:num>
  <w:num w:numId="13">
    <w:abstractNumId w:val="16"/>
  </w:num>
  <w:num w:numId="14">
    <w:abstractNumId w:val="5"/>
  </w:num>
  <w:num w:numId="15">
    <w:abstractNumId w:val="12"/>
  </w:num>
  <w:num w:numId="16">
    <w:abstractNumId w:val="14"/>
  </w:num>
  <w:num w:numId="17">
    <w:abstractNumId w:val="2"/>
  </w:num>
  <w:num w:numId="18">
    <w:abstractNumId w:val="3"/>
  </w:num>
  <w:num w:numId="19">
    <w:abstractNumId w:val="10"/>
  </w:num>
  <w:num w:numId="20">
    <w:abstractNumId w:val="17"/>
  </w:num>
  <w:num w:numId="21">
    <w:abstractNumId w:val="0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24A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138"/>
    <w:rsid w:val="000F03D7"/>
    <w:rsid w:val="000F0404"/>
    <w:rsid w:val="000F194F"/>
    <w:rsid w:val="000F3169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264AD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3CE8"/>
    <w:rsid w:val="003755F6"/>
    <w:rsid w:val="00375BC1"/>
    <w:rsid w:val="00377FE7"/>
    <w:rsid w:val="00380DF4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057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F64"/>
    <w:rsid w:val="006844D9"/>
    <w:rsid w:val="00685310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06DF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222E"/>
    <w:rsid w:val="00774C9C"/>
    <w:rsid w:val="00774F0C"/>
    <w:rsid w:val="00774FFC"/>
    <w:rsid w:val="007753DF"/>
    <w:rsid w:val="00775637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2FF7"/>
    <w:rsid w:val="007E3AAC"/>
    <w:rsid w:val="007E4B87"/>
    <w:rsid w:val="007E5FB1"/>
    <w:rsid w:val="007E65B3"/>
    <w:rsid w:val="007E6A79"/>
    <w:rsid w:val="007E70AB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641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4997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677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7E3"/>
    <w:rsid w:val="00B50322"/>
    <w:rsid w:val="00B52135"/>
    <w:rsid w:val="00B52593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7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6A1D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196B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izzatullinRA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49FC3-41B1-435C-8174-5F1052D8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12</Pages>
  <Words>3764</Words>
  <Characters>21459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25173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23</cp:revision>
  <cp:lastPrinted>2014-09-25T06:49:00Z</cp:lastPrinted>
  <dcterms:created xsi:type="dcterms:W3CDTF">2014-09-23T09:09:00Z</dcterms:created>
  <dcterms:modified xsi:type="dcterms:W3CDTF">2014-10-06T10:54:00Z</dcterms:modified>
</cp:coreProperties>
</file>