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19" w:rsidRPr="00D3130F" w:rsidRDefault="00D3130F" w:rsidP="00D3130F">
      <w:pPr>
        <w:autoSpaceDE/>
        <w:autoSpaceDN/>
        <w:adjustRightInd/>
        <w:spacing w:before="180" w:line="240" w:lineRule="auto"/>
        <w:ind w:firstLine="0"/>
        <w:rPr>
          <w:b/>
          <w:sz w:val="24"/>
          <w:szCs w:val="24"/>
        </w:rPr>
      </w:pPr>
      <w:r w:rsidRPr="00D3130F"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 xml:space="preserve">         </w:t>
      </w:r>
      <w:r w:rsidR="00F32719" w:rsidRPr="00D3130F">
        <w:rPr>
          <w:b/>
          <w:sz w:val="24"/>
          <w:szCs w:val="24"/>
        </w:rPr>
        <w:t>Приложение</w:t>
      </w:r>
      <w:r w:rsidR="00A03927" w:rsidRPr="00D3130F">
        <w:rPr>
          <w:b/>
          <w:sz w:val="24"/>
          <w:szCs w:val="24"/>
        </w:rPr>
        <w:t xml:space="preserve"> 25</w:t>
      </w:r>
    </w:p>
    <w:p w:rsidR="00F32719" w:rsidRPr="00D3130F" w:rsidRDefault="00D3130F" w:rsidP="0029611D">
      <w:pPr>
        <w:autoSpaceDE/>
        <w:autoSpaceDN/>
        <w:adjustRightInd/>
        <w:spacing w:before="180" w:line="240" w:lineRule="auto"/>
        <w:ind w:firstLine="0"/>
        <w:rPr>
          <w:b/>
          <w:sz w:val="24"/>
          <w:szCs w:val="24"/>
        </w:rPr>
      </w:pPr>
      <w:r w:rsidRPr="00D3130F">
        <w:rPr>
          <w:b/>
          <w:sz w:val="24"/>
          <w:szCs w:val="24"/>
        </w:rPr>
        <w:t xml:space="preserve">                                                             </w:t>
      </w:r>
      <w:r>
        <w:rPr>
          <w:b/>
          <w:sz w:val="24"/>
          <w:szCs w:val="24"/>
        </w:rPr>
        <w:t xml:space="preserve">                               </w:t>
      </w:r>
      <w:r w:rsidRPr="00D3130F">
        <w:rPr>
          <w:b/>
          <w:sz w:val="24"/>
          <w:szCs w:val="24"/>
        </w:rPr>
        <w:t xml:space="preserve"> </w:t>
      </w:r>
      <w:r w:rsidR="00F32719" w:rsidRPr="00D3130F">
        <w:rPr>
          <w:b/>
          <w:sz w:val="24"/>
          <w:szCs w:val="24"/>
        </w:rPr>
        <w:t xml:space="preserve">к договору № </w:t>
      </w:r>
    </w:p>
    <w:p w:rsidR="00F32719" w:rsidRPr="009B4C1B" w:rsidRDefault="00F32719" w:rsidP="00F32719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</w:p>
    <w:p w:rsidR="00F32719" w:rsidRPr="009B4C1B" w:rsidRDefault="00F32719" w:rsidP="00F32719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</w:p>
    <w:p w:rsidR="00F32719" w:rsidRPr="009B4C1B" w:rsidRDefault="00F32719" w:rsidP="00F32719">
      <w:pPr>
        <w:keepNext/>
        <w:autoSpaceDE/>
        <w:spacing w:line="240" w:lineRule="auto"/>
        <w:ind w:firstLine="709"/>
        <w:jc w:val="center"/>
        <w:rPr>
          <w:b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Акт приема </w:t>
      </w:r>
      <w:r w:rsidRPr="009B4C1B">
        <w:rPr>
          <w:sz w:val="24"/>
          <w:szCs w:val="24"/>
        </w:rPr>
        <w:t xml:space="preserve">– </w:t>
      </w:r>
      <w:r w:rsidRPr="009B4C1B">
        <w:rPr>
          <w:b/>
          <w:sz w:val="24"/>
          <w:szCs w:val="24"/>
        </w:rPr>
        <w:t>передачи</w:t>
      </w:r>
    </w:p>
    <w:p w:rsidR="00F32719" w:rsidRPr="009B4C1B" w:rsidRDefault="00F32719" w:rsidP="00F32719">
      <w:pPr>
        <w:keepNext/>
        <w:autoSpaceDE/>
        <w:spacing w:line="240" w:lineRule="auto"/>
        <w:ind w:firstLine="709"/>
        <w:jc w:val="center"/>
        <w:rPr>
          <w:b/>
          <w:bCs/>
          <w:sz w:val="24"/>
          <w:szCs w:val="24"/>
        </w:rPr>
      </w:pPr>
      <w:r w:rsidRPr="009B4C1B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F32719" w:rsidRPr="009B4C1B" w:rsidRDefault="00F32719" w:rsidP="00F32719">
      <w:pPr>
        <w:keepNext/>
        <w:autoSpaceDE/>
        <w:spacing w:line="240" w:lineRule="auto"/>
        <w:ind w:firstLine="0"/>
        <w:rPr>
          <w:b/>
        </w:rPr>
      </w:pPr>
    </w:p>
    <w:tbl>
      <w:tblPr>
        <w:tblpPr w:leftFromText="180" w:rightFromText="180" w:vertAnchor="text" w:horzAnchor="margin" w:tblpXSpec="center" w:tblpY="96"/>
        <w:tblW w:w="9571" w:type="dxa"/>
        <w:tblLayout w:type="fixed"/>
        <w:tblLook w:val="0000" w:firstRow="0" w:lastRow="0" w:firstColumn="0" w:lastColumn="0" w:noHBand="0" w:noVBand="0"/>
      </w:tblPr>
      <w:tblGrid>
        <w:gridCol w:w="1319"/>
        <w:gridCol w:w="6882"/>
        <w:gridCol w:w="1370"/>
      </w:tblGrid>
      <w:tr w:rsidR="00F32719" w:rsidRPr="009B4C1B" w:rsidTr="00A806DA">
        <w:trPr>
          <w:cantSplit/>
          <w:trHeight w:val="726"/>
          <w:tblHeader/>
        </w:trPr>
        <w:tc>
          <w:tcPr>
            <w:tcW w:w="13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32719" w:rsidRPr="009B4C1B" w:rsidRDefault="00F32719" w:rsidP="00A806DA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№</w:t>
            </w:r>
          </w:p>
          <w:p w:rsidR="00F32719" w:rsidRPr="009B4C1B" w:rsidRDefault="00F32719" w:rsidP="00A806DA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68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32719" w:rsidRPr="009B4C1B" w:rsidRDefault="00F32719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B4C1B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9B4C1B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32719" w:rsidRPr="009B4C1B" w:rsidRDefault="00F32719" w:rsidP="00A806D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9B4C1B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F32719" w:rsidRPr="009B4C1B" w:rsidRDefault="00F32719" w:rsidP="00A806DA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9B4C1B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9B4C1B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B4C1B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9B4C1B">
              <w:rPr>
                <w:sz w:val="20"/>
                <w:szCs w:val="20"/>
                <w:lang w:val="uk-UA"/>
              </w:rPr>
              <w:t>)</w:t>
            </w:r>
          </w:p>
        </w:tc>
      </w:tr>
      <w:tr w:rsidR="00F32719" w:rsidRPr="009B4C1B" w:rsidTr="00A806DA">
        <w:trPr>
          <w:gridAfter w:val="2"/>
          <w:wAfter w:w="8252" w:type="dxa"/>
          <w:cantSplit/>
          <w:trHeight w:val="138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B4C1B" w:rsidRDefault="00F32719" w:rsidP="00A806DA">
            <w:pPr>
              <w:spacing w:line="240" w:lineRule="auto"/>
              <w:ind w:firstLine="0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9B4C1B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bookmarkStart w:id="0" w:name="_GoBack" w:colFirst="2" w:colLast="2"/>
            <w:r w:rsidRPr="009B4C1B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05085C">
              <w:rPr>
                <w:sz w:val="24"/>
                <w:szCs w:val="24"/>
              </w:rPr>
              <w:t>Славнефть</w:t>
            </w:r>
            <w:proofErr w:type="spellEnd"/>
            <w:r w:rsidRPr="0005085C">
              <w:rPr>
                <w:sz w:val="24"/>
                <w:szCs w:val="24"/>
              </w:rPr>
              <w:t>-Мегионнефтегаз»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14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9B4C1B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25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9B4C1B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9B4C1B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Регламент взаимодействия структурных подразделений ОАО «СН-МНГ» и Подрядных организаций по планированию, контролю и учету движения трубно-штанговой продукции (ТШП), оформлению первичных учетных документов в автоматизированной системе программного комплекса;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43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9B4C1B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Регламент взаимодействия между ОАО «СН-МНГ» и Подрядчиком по предоставлению материально-производственных запасов на давальческой основе и их документальное оформление при выполнении работ по капитальному и текущему  ремонту скважин;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5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9B4C1B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 xml:space="preserve">Регламент взаимодействия  ОАО «СН-МНГ» </w:t>
            </w:r>
            <w:proofErr w:type="gramStart"/>
            <w:r w:rsidRPr="0005085C">
              <w:rPr>
                <w:sz w:val="24"/>
                <w:szCs w:val="24"/>
              </w:rPr>
              <w:t xml:space="preserve">и </w:t>
            </w:r>
            <w:r w:rsidR="002924E1">
              <w:t xml:space="preserve"> </w:t>
            </w:r>
            <w:r w:rsidR="002924E1" w:rsidRPr="002924E1">
              <w:rPr>
                <w:sz w:val="24"/>
                <w:szCs w:val="24"/>
                <w:u w:val="single"/>
              </w:rPr>
              <w:t>ООО</w:t>
            </w:r>
            <w:proofErr w:type="gramEnd"/>
            <w:r w:rsidR="002924E1" w:rsidRPr="002924E1">
              <w:rPr>
                <w:sz w:val="24"/>
                <w:szCs w:val="24"/>
                <w:u w:val="single"/>
              </w:rPr>
              <w:t xml:space="preserve"> «</w:t>
            </w:r>
            <w:proofErr w:type="spellStart"/>
            <w:r w:rsidR="002924E1" w:rsidRPr="002924E1">
              <w:rPr>
                <w:sz w:val="24"/>
                <w:szCs w:val="24"/>
                <w:u w:val="single"/>
              </w:rPr>
              <w:t>ДенКаРС</w:t>
            </w:r>
            <w:proofErr w:type="spellEnd"/>
            <w:r w:rsidR="002924E1" w:rsidRPr="002924E1">
              <w:rPr>
                <w:sz w:val="24"/>
                <w:szCs w:val="24"/>
                <w:u w:val="single"/>
              </w:rPr>
              <w:t>»</w:t>
            </w:r>
            <w:r w:rsidRPr="0005085C">
              <w:rPr>
                <w:sz w:val="24"/>
                <w:szCs w:val="24"/>
              </w:rPr>
              <w:t xml:space="preserve"> и документального оформления операций по предоставлению технологической жидкости глушения скважин на давальческой основе;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5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9B4C1B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Стандарт «Общие требования, предъявляемые к подрядным организациям в ОАО «СН-МНГ» в области охраны труда, промышленной, пожарной и экологической безопасности»;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51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05085C">
              <w:rPr>
                <w:sz w:val="24"/>
                <w:szCs w:val="24"/>
              </w:rPr>
              <w:t>Славнефть</w:t>
            </w:r>
            <w:proofErr w:type="spellEnd"/>
            <w:r w:rsidRPr="0005085C">
              <w:rPr>
                <w:sz w:val="24"/>
                <w:szCs w:val="24"/>
              </w:rPr>
              <w:t>-Мегионнефтегаз»;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53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27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15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34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32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Регламент распределения обязанностей в процессе строительства скважин между Заказчиком и Подрядчиками, которые привлекаются Заказчиком для проведения работ по эксплуатационному бурению;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5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pacing w:val="1"/>
                <w:sz w:val="24"/>
                <w:szCs w:val="24"/>
              </w:rPr>
              <w:t xml:space="preserve">Регламент по безаварийному ведению буровых работ на месторождениях </w:t>
            </w:r>
            <w:r w:rsidRPr="0005085C">
              <w:rPr>
                <w:sz w:val="24"/>
                <w:szCs w:val="24"/>
              </w:rPr>
              <w:t>открытого акционерного общества «</w:t>
            </w:r>
            <w:proofErr w:type="spellStart"/>
            <w:r w:rsidRPr="0005085C">
              <w:rPr>
                <w:sz w:val="24"/>
                <w:szCs w:val="24"/>
              </w:rPr>
              <w:t>Славнефть</w:t>
            </w:r>
            <w:proofErr w:type="spellEnd"/>
            <w:r w:rsidRPr="0005085C">
              <w:rPr>
                <w:sz w:val="24"/>
                <w:szCs w:val="24"/>
              </w:rPr>
              <w:t>-Мегионнефтегаз»;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64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9B4C1B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</w:t>
            </w:r>
            <w:r w:rsidRPr="009B4C1B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bCs/>
                <w:color w:val="000000"/>
                <w:sz w:val="24"/>
                <w:szCs w:val="24"/>
              </w:rPr>
              <w:t>Регламент взаимодействия ОАО «СН-МНГ» и Подрядчика по обеспечению материалами на давальческой основе при выполнении работ по строительству и освоению скважин</w:t>
            </w:r>
            <w:r w:rsidRPr="0005085C">
              <w:rPr>
                <w:sz w:val="24"/>
                <w:szCs w:val="24"/>
              </w:rPr>
              <w:t>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10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9B4C1B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Регламент по учету нефти, отпущенной на производственно-технологические нужды подрядным организациям выполняющим освоение скважин после бурения на месторождениях ОАО «</w:t>
            </w:r>
            <w:proofErr w:type="spellStart"/>
            <w:r w:rsidRPr="0005085C">
              <w:rPr>
                <w:sz w:val="24"/>
                <w:szCs w:val="24"/>
              </w:rPr>
              <w:t>Славнефть</w:t>
            </w:r>
            <w:proofErr w:type="spellEnd"/>
            <w:r w:rsidRPr="0005085C">
              <w:rPr>
                <w:sz w:val="24"/>
                <w:szCs w:val="24"/>
              </w:rPr>
              <w:t>-Мегионнефтегаз»;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13</w:t>
            </w:r>
          </w:p>
        </w:tc>
      </w:tr>
      <w:tr w:rsidR="00D3130F" w:rsidRPr="009B4C1B" w:rsidTr="00A806DA">
        <w:trPr>
          <w:cantSplit/>
          <w:trHeight w:val="252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Pr="0005085C" w:rsidRDefault="00D3130F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iCs/>
                <w:sz w:val="24"/>
                <w:szCs w:val="24"/>
              </w:rPr>
              <w:t>Регламент содействия Заказчика в авиаперевозках материалов, оборудования и персонала Подрядчика</w:t>
            </w:r>
            <w:r w:rsidRPr="0005085C">
              <w:rPr>
                <w:sz w:val="24"/>
                <w:szCs w:val="24"/>
              </w:rPr>
              <w:t>;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3</w:t>
            </w:r>
          </w:p>
        </w:tc>
      </w:tr>
      <w:tr w:rsidR="00D3130F" w:rsidRPr="009B4C1B" w:rsidTr="00A806DA">
        <w:trPr>
          <w:cantSplit/>
          <w:trHeight w:val="2115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Default="00D3130F" w:rsidP="00A806DA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130F" w:rsidRDefault="00D3130F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05085C">
              <w:rPr>
                <w:sz w:val="24"/>
                <w:szCs w:val="24"/>
              </w:rPr>
              <w:t>Стандарт «Расследование и учет происшествий в области охраны труда, промышленной безопасности и охраны окружающей среды, подготовка, распространение, учёт извлечённых уроков и планов действий в открытом акционерном обществе «</w:t>
            </w:r>
            <w:proofErr w:type="spellStart"/>
            <w:r w:rsidRPr="0005085C">
              <w:rPr>
                <w:sz w:val="24"/>
                <w:szCs w:val="24"/>
              </w:rPr>
              <w:t>Славнефть</w:t>
            </w:r>
            <w:proofErr w:type="spellEnd"/>
            <w:r w:rsidRPr="0005085C">
              <w:rPr>
                <w:sz w:val="24"/>
                <w:szCs w:val="24"/>
              </w:rPr>
              <w:t xml:space="preserve">-Мегионнефтегаз»; </w:t>
            </w:r>
          </w:p>
          <w:p w:rsidR="0029611D" w:rsidRDefault="0029611D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</w:p>
          <w:p w:rsidR="0029611D" w:rsidRDefault="0029611D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</w:p>
          <w:p w:rsidR="0029611D" w:rsidRPr="0005085C" w:rsidRDefault="0029611D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3130F" w:rsidRPr="00D3130F" w:rsidRDefault="00D3130F" w:rsidP="00A806DA">
            <w:pPr>
              <w:rPr>
                <w:b/>
              </w:rPr>
            </w:pPr>
            <w:r w:rsidRPr="00D3130F">
              <w:rPr>
                <w:b/>
              </w:rPr>
              <w:t>49</w:t>
            </w:r>
          </w:p>
        </w:tc>
      </w:tr>
      <w:tr w:rsidR="0029611D" w:rsidRPr="009B4C1B" w:rsidTr="00A806DA">
        <w:trPr>
          <w:cantSplit/>
          <w:trHeight w:val="768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9611D" w:rsidRDefault="00A806DA" w:rsidP="00A806DA">
            <w:pPr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1</w:t>
            </w:r>
            <w:r w:rsidR="0029611D">
              <w:rPr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9611D" w:rsidRDefault="0029611D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bCs/>
                <w:sz w:val="24"/>
                <w:szCs w:val="24"/>
              </w:rPr>
            </w:pPr>
            <w:r w:rsidRPr="0029611D">
              <w:rPr>
                <w:bCs/>
                <w:sz w:val="24"/>
                <w:szCs w:val="24"/>
              </w:rPr>
              <w:t>Стандарт «Методические указания по установлению Жизненно важных правил безопасного ведения работ» СТО 021-2014</w:t>
            </w:r>
            <w:r>
              <w:rPr>
                <w:bCs/>
                <w:sz w:val="24"/>
                <w:szCs w:val="24"/>
              </w:rPr>
              <w:t>;</w:t>
            </w:r>
          </w:p>
          <w:p w:rsidR="0029611D" w:rsidRPr="0005085C" w:rsidRDefault="0029611D" w:rsidP="00A806DA">
            <w:pPr>
              <w:shd w:val="clear" w:color="auto" w:fill="FFFFFF"/>
              <w:tabs>
                <w:tab w:val="left" w:pos="142"/>
                <w:tab w:val="left" w:pos="566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9611D" w:rsidRPr="00D3130F" w:rsidRDefault="0029611D" w:rsidP="00A806DA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bookmarkEnd w:id="0"/>
      <w:tr w:rsidR="00A806DA" w:rsidRPr="009B4C1B" w:rsidTr="00A806DA">
        <w:trPr>
          <w:cantSplit/>
          <w:trHeight w:val="1425"/>
          <w:tblHeader/>
        </w:trPr>
        <w:tc>
          <w:tcPr>
            <w:tcW w:w="13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06DA" w:rsidRDefault="00A806DA" w:rsidP="00A806DA">
            <w:pPr>
              <w:spacing w:line="240" w:lineRule="auto"/>
              <w:ind w:firstLine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19.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806DA" w:rsidRPr="00A806DA" w:rsidRDefault="00A806DA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A806DA">
              <w:rPr>
                <w:bCs/>
                <w:sz w:val="24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A806DA">
              <w:rPr>
                <w:bCs/>
                <w:sz w:val="24"/>
                <w:szCs w:val="24"/>
              </w:rPr>
              <w:t>Славнефть</w:t>
            </w:r>
            <w:proofErr w:type="spellEnd"/>
            <w:r w:rsidRPr="00A806DA">
              <w:rPr>
                <w:bCs/>
                <w:sz w:val="24"/>
                <w:szCs w:val="24"/>
              </w:rPr>
              <w:t>-Мегионнефтегаз»;</w:t>
            </w:r>
          </w:p>
          <w:p w:rsidR="00A806DA" w:rsidRDefault="00A806DA" w:rsidP="00A806DA">
            <w:pPr>
              <w:widowControl/>
              <w:shd w:val="clear" w:color="auto" w:fill="FFFFFF"/>
              <w:tabs>
                <w:tab w:val="left" w:pos="142"/>
                <w:tab w:val="left" w:pos="566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</w:p>
          <w:p w:rsidR="00A806DA" w:rsidRPr="0029611D" w:rsidRDefault="00A806DA" w:rsidP="00A806DA">
            <w:pPr>
              <w:shd w:val="clear" w:color="auto" w:fill="FFFFFF"/>
              <w:tabs>
                <w:tab w:val="left" w:pos="142"/>
                <w:tab w:val="left" w:pos="566"/>
              </w:tabs>
              <w:spacing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06DA" w:rsidRDefault="00A806DA" w:rsidP="00A806DA">
            <w:pPr>
              <w:rPr>
                <w:b/>
              </w:rPr>
            </w:pPr>
          </w:p>
        </w:tc>
      </w:tr>
    </w:tbl>
    <w:p w:rsidR="00F32719" w:rsidRPr="009B4C1B" w:rsidRDefault="00F32719" w:rsidP="00F32719">
      <w:pPr>
        <w:spacing w:line="240" w:lineRule="auto"/>
        <w:ind w:firstLine="709"/>
        <w:jc w:val="both"/>
        <w:rPr>
          <w:color w:val="000000"/>
          <w:sz w:val="20"/>
          <w:szCs w:val="20"/>
        </w:rPr>
      </w:pPr>
      <w:r w:rsidRPr="009B4C1B">
        <w:rPr>
          <w:b/>
          <w:color w:val="000000"/>
          <w:sz w:val="24"/>
          <w:szCs w:val="24"/>
        </w:rPr>
        <w:t>*</w:t>
      </w:r>
      <w:r w:rsidRPr="009B4C1B">
        <w:rPr>
          <w:color w:val="000000"/>
          <w:sz w:val="20"/>
          <w:szCs w:val="20"/>
        </w:rPr>
        <w:t>Подписав настоящий акт, Заказчик п</w:t>
      </w:r>
      <w:r>
        <w:rPr>
          <w:color w:val="000000"/>
          <w:sz w:val="20"/>
          <w:szCs w:val="20"/>
        </w:rPr>
        <w:t>одтверждает передачу Подрядчику</w:t>
      </w:r>
      <w:r w:rsidRPr="009B4C1B">
        <w:rPr>
          <w:color w:val="000000"/>
          <w:sz w:val="20"/>
          <w:szCs w:val="20"/>
        </w:rPr>
        <w:t xml:space="preserve"> вышеука</w:t>
      </w:r>
      <w:r>
        <w:rPr>
          <w:color w:val="000000"/>
          <w:sz w:val="20"/>
          <w:szCs w:val="20"/>
        </w:rPr>
        <w:t>занных документов, а Подрядчик</w:t>
      </w:r>
      <w:r w:rsidRPr="009B4C1B">
        <w:rPr>
          <w:color w:val="000000"/>
          <w:sz w:val="20"/>
          <w:szCs w:val="20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10"/>
          <w:szCs w:val="10"/>
        </w:rPr>
      </w:pPr>
    </w:p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9B4C1B">
        <w:rPr>
          <w:b/>
          <w:color w:val="000000"/>
          <w:sz w:val="24"/>
          <w:szCs w:val="24"/>
        </w:rPr>
        <w:t>Подписи Сторон</w:t>
      </w:r>
    </w:p>
    <w:p w:rsidR="00F32719" w:rsidRPr="009B4C1B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619"/>
        <w:tblW w:w="0" w:type="auto"/>
        <w:tblLook w:val="04A0" w:firstRow="1" w:lastRow="0" w:firstColumn="1" w:lastColumn="0" w:noHBand="0" w:noVBand="1"/>
      </w:tblPr>
      <w:tblGrid>
        <w:gridCol w:w="5424"/>
        <w:gridCol w:w="4037"/>
      </w:tblGrid>
      <w:tr w:rsidR="006F558D" w:rsidRPr="006F558D" w:rsidTr="00DE70CB">
        <w:tc>
          <w:tcPr>
            <w:tcW w:w="5424" w:type="dxa"/>
            <w:shd w:val="clear" w:color="auto" w:fill="auto"/>
          </w:tcPr>
          <w:p w:rsidR="006F558D" w:rsidRPr="006F558D" w:rsidRDefault="006F558D" w:rsidP="006F558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6F558D">
              <w:rPr>
                <w:rFonts w:eastAsia="Calibri"/>
                <w:b/>
                <w:sz w:val="24"/>
                <w:lang w:eastAsia="en-US"/>
              </w:rPr>
              <w:t>ПОДРЯДЧИК</w:t>
            </w:r>
            <w:r>
              <w:rPr>
                <w:rFonts w:eastAsia="Calibri"/>
                <w:b/>
                <w:sz w:val="24"/>
                <w:lang w:eastAsia="en-US"/>
              </w:rPr>
              <w:t>:</w:t>
            </w:r>
          </w:p>
          <w:p w:rsidR="006F558D" w:rsidRDefault="0029611D" w:rsidP="006F558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  <w:r>
              <w:rPr>
                <w:rFonts w:eastAsia="Calibri"/>
                <w:b/>
                <w:sz w:val="24"/>
                <w:lang w:eastAsia="en-US"/>
              </w:rPr>
              <w:t>______________________</w:t>
            </w:r>
          </w:p>
          <w:p w:rsidR="006F558D" w:rsidRPr="006F558D" w:rsidRDefault="0029611D" w:rsidP="006F558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  <w:r>
              <w:rPr>
                <w:rFonts w:eastAsia="Calibri"/>
                <w:b/>
                <w:sz w:val="24"/>
                <w:lang w:eastAsia="en-US"/>
              </w:rPr>
              <w:t>__________________________</w:t>
            </w:r>
          </w:p>
          <w:p w:rsidR="006F558D" w:rsidRPr="006F558D" w:rsidRDefault="006F558D" w:rsidP="006F558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</w:p>
          <w:p w:rsidR="006F558D" w:rsidRPr="006F558D" w:rsidRDefault="006F558D" w:rsidP="006F558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</w:p>
          <w:p w:rsidR="006F558D" w:rsidRPr="006F558D" w:rsidRDefault="006F558D" w:rsidP="0029611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  <w:r>
              <w:rPr>
                <w:rFonts w:eastAsia="Calibri"/>
                <w:b/>
                <w:sz w:val="24"/>
                <w:lang w:eastAsia="en-US"/>
              </w:rPr>
              <w:t xml:space="preserve">_______________ </w:t>
            </w:r>
          </w:p>
        </w:tc>
        <w:tc>
          <w:tcPr>
            <w:tcW w:w="4037" w:type="dxa"/>
            <w:shd w:val="clear" w:color="auto" w:fill="auto"/>
          </w:tcPr>
          <w:p w:rsidR="006F558D" w:rsidRPr="006F558D" w:rsidRDefault="006F558D" w:rsidP="006F558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6F558D">
              <w:rPr>
                <w:rFonts w:eastAsia="Calibri"/>
                <w:b/>
                <w:sz w:val="24"/>
                <w:lang w:eastAsia="en-US"/>
              </w:rPr>
              <w:t>ЗАКАЗЧИК:</w:t>
            </w:r>
          </w:p>
          <w:p w:rsidR="006F558D" w:rsidRPr="006F558D" w:rsidRDefault="006F558D" w:rsidP="006F558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6F558D">
              <w:rPr>
                <w:rFonts w:eastAsia="Calibri"/>
                <w:b/>
                <w:sz w:val="24"/>
                <w:lang w:eastAsia="en-US"/>
              </w:rPr>
              <w:t>ОАО «СН-МНГ»</w:t>
            </w:r>
          </w:p>
          <w:p w:rsidR="006F558D" w:rsidRPr="006F558D" w:rsidRDefault="006F558D" w:rsidP="006F558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6F558D">
              <w:rPr>
                <w:rFonts w:eastAsia="Calibri"/>
                <w:b/>
                <w:sz w:val="24"/>
                <w:lang w:eastAsia="en-US"/>
              </w:rPr>
              <w:t>Директор по добыче нефти и газа</w:t>
            </w:r>
          </w:p>
          <w:p w:rsidR="006F558D" w:rsidRPr="006F558D" w:rsidRDefault="006F558D" w:rsidP="006F558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</w:p>
          <w:p w:rsidR="006F558D" w:rsidRPr="006F558D" w:rsidRDefault="006F558D" w:rsidP="006F558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</w:p>
          <w:p w:rsidR="006F558D" w:rsidRPr="006F558D" w:rsidRDefault="006F558D" w:rsidP="006F558D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eastAsia="Calibri"/>
                <w:b/>
                <w:sz w:val="24"/>
                <w:lang w:eastAsia="en-US"/>
              </w:rPr>
            </w:pPr>
            <w:r w:rsidRPr="006F558D">
              <w:rPr>
                <w:rFonts w:eastAsia="Calibri"/>
                <w:b/>
                <w:sz w:val="24"/>
                <w:lang w:eastAsia="en-US"/>
              </w:rPr>
              <w:t>________________ П.В. Василенко</w:t>
            </w:r>
          </w:p>
        </w:tc>
      </w:tr>
    </w:tbl>
    <w:p w:rsidR="00F32719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  <w:lang w:val="en-US"/>
        </w:rPr>
      </w:pPr>
    </w:p>
    <w:p w:rsidR="006F558D" w:rsidRDefault="006F558D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  <w:lang w:val="en-US"/>
        </w:rPr>
      </w:pPr>
    </w:p>
    <w:p w:rsidR="006F558D" w:rsidRPr="006F558D" w:rsidRDefault="006F558D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  <w:lang w:val="en-US"/>
        </w:rPr>
      </w:pPr>
    </w:p>
    <w:p w:rsidR="0077128F" w:rsidRDefault="0077128F"/>
    <w:sectPr w:rsidR="00771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B9A" w:rsidRDefault="00577B9A" w:rsidP="00D3130F">
      <w:pPr>
        <w:spacing w:line="240" w:lineRule="auto"/>
      </w:pPr>
      <w:r>
        <w:separator/>
      </w:r>
    </w:p>
  </w:endnote>
  <w:endnote w:type="continuationSeparator" w:id="0">
    <w:p w:rsidR="00577B9A" w:rsidRDefault="00577B9A" w:rsidP="00D31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B9A" w:rsidRDefault="00577B9A" w:rsidP="00D3130F">
      <w:pPr>
        <w:spacing w:line="240" w:lineRule="auto"/>
      </w:pPr>
      <w:r>
        <w:separator/>
      </w:r>
    </w:p>
  </w:footnote>
  <w:footnote w:type="continuationSeparator" w:id="0">
    <w:p w:rsidR="00577B9A" w:rsidRDefault="00577B9A" w:rsidP="00D313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B6159"/>
    <w:multiLevelType w:val="multilevel"/>
    <w:tmpl w:val="AE3CDB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19"/>
    <w:rsid w:val="0005085C"/>
    <w:rsid w:val="000F56EB"/>
    <w:rsid w:val="00282B9E"/>
    <w:rsid w:val="002924E1"/>
    <w:rsid w:val="0029611D"/>
    <w:rsid w:val="003773E2"/>
    <w:rsid w:val="004B675C"/>
    <w:rsid w:val="00577B9A"/>
    <w:rsid w:val="00637255"/>
    <w:rsid w:val="006F558D"/>
    <w:rsid w:val="0077128F"/>
    <w:rsid w:val="00786CF8"/>
    <w:rsid w:val="00A03927"/>
    <w:rsid w:val="00A3404A"/>
    <w:rsid w:val="00A806DA"/>
    <w:rsid w:val="00BC4089"/>
    <w:rsid w:val="00D26335"/>
    <w:rsid w:val="00D3130F"/>
    <w:rsid w:val="00F3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30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30F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3130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30F"/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06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06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30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30F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D3130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30F"/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06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06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Николай Васильевич Билый</cp:lastModifiedBy>
  <cp:revision>4</cp:revision>
  <cp:lastPrinted>2014-10-15T13:12:00Z</cp:lastPrinted>
  <dcterms:created xsi:type="dcterms:W3CDTF">2015-05-12T03:23:00Z</dcterms:created>
  <dcterms:modified xsi:type="dcterms:W3CDTF">2015-05-20T03:18:00Z</dcterms:modified>
</cp:coreProperties>
</file>