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65059D">
            <w:pPr>
              <w:jc w:val="both"/>
            </w:pPr>
            <w:r w:rsidRPr="000127F9">
              <w:t>Протокол  № _____</w:t>
            </w:r>
            <w:r w:rsidR="0065059D" w:rsidRPr="0065059D">
              <w:rPr>
                <w:u w:val="single"/>
                <w:lang w:val="en-US"/>
              </w:rPr>
              <w:t>77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65059D">
            <w:pPr>
              <w:jc w:val="both"/>
            </w:pPr>
            <w:r w:rsidRPr="000127F9">
              <w:t>«</w:t>
            </w:r>
            <w:r w:rsidR="0065059D">
              <w:rPr>
                <w:lang w:val="en-US"/>
              </w:rPr>
              <w:t>12</w:t>
            </w:r>
            <w:r w:rsidRPr="000127F9">
              <w:t xml:space="preserve">» </w:t>
            </w:r>
            <w:r w:rsidR="0065059D">
              <w:t>марта</w:t>
            </w:r>
            <w:r w:rsidRPr="000127F9">
              <w:t xml:space="preserve">  </w:t>
            </w:r>
            <w:r w:rsidR="0065059D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37798A">
        <w:rPr>
          <w:b/>
        </w:rPr>
        <w:t>92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65059D">
        <w:rPr>
          <w:b/>
        </w:rPr>
        <w:t>12</w:t>
      </w:r>
      <w:r w:rsidR="00D67B56">
        <w:rPr>
          <w:b/>
        </w:rPr>
        <w:t>»</w:t>
      </w:r>
      <w:r w:rsidR="0065059D">
        <w:rPr>
          <w:b/>
        </w:rPr>
        <w:t xml:space="preserve"> марта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4773C" w:rsidRPr="002F19DD">
        <w:rPr>
          <w:b/>
        </w:rPr>
        <w:t>4</w:t>
      </w:r>
      <w:r w:rsidR="0037798A">
        <w:rPr>
          <w:b/>
        </w:rPr>
        <w:t>1</w:t>
      </w:r>
      <w:r w:rsidR="0044773C" w:rsidRPr="002F19DD">
        <w:rPr>
          <w:b/>
        </w:rPr>
        <w:t xml:space="preserve">2 </w:t>
      </w:r>
      <w:r w:rsidR="0044773C" w:rsidRPr="002F19DD">
        <w:rPr>
          <w:b/>
          <w:bCs/>
        </w:rPr>
        <w:t>«</w:t>
      </w:r>
      <w:r w:rsidR="0037798A" w:rsidRPr="0037798A">
        <w:rPr>
          <w:b/>
          <w:bCs/>
        </w:rPr>
        <w:t>Отбор и анализ глубинных проб</w:t>
      </w:r>
      <w:r w:rsidR="0044773C" w:rsidRPr="002F19DD">
        <w:rPr>
          <w:b/>
          <w:bCs/>
        </w:rPr>
        <w:t>»</w:t>
      </w:r>
      <w:r w:rsidR="0044773C">
        <w:rPr>
          <w:b/>
          <w:bCs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37798A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E2381F">
        <w:t>0</w:t>
      </w:r>
      <w:r w:rsidR="0071567C" w:rsidRPr="005A0C17">
        <w:t>.</w:t>
      </w:r>
      <w:r w:rsidR="00DA6522">
        <w:t>0</w:t>
      </w:r>
      <w:r w:rsidR="00E2381F">
        <w:t>6</w:t>
      </w:r>
      <w:r w:rsidR="0071567C" w:rsidRPr="005A0C17">
        <w:t>.201</w:t>
      </w:r>
      <w:r w:rsidR="00DA6522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E32013" w:rsidRDefault="0053797C" w:rsidP="00E3201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t>заполненны</w:t>
      </w:r>
      <w:r w:rsidR="0037798A">
        <w:t>й</w:t>
      </w:r>
      <w:r w:rsidRPr="00D67B56">
        <w:t>, подписанны</w:t>
      </w:r>
      <w:r w:rsidR="0037798A">
        <w:t>й</w:t>
      </w:r>
      <w:r w:rsidRPr="00D67B56">
        <w:t xml:space="preserve"> </w:t>
      </w:r>
      <w:r>
        <w:t xml:space="preserve">лот </w:t>
      </w:r>
      <w:r w:rsidR="00264D1F">
        <w:t>№</w:t>
      </w:r>
      <w:r w:rsidR="0037798A">
        <w:t>1</w:t>
      </w:r>
      <w:r w:rsidRPr="00D67B56">
        <w:t xml:space="preserve"> </w:t>
      </w:r>
      <w:r w:rsidRPr="00E32013">
        <w:rPr>
          <w:szCs w:val="16"/>
        </w:rPr>
        <w:t>(Форм</w:t>
      </w:r>
      <w:r w:rsidR="0037798A">
        <w:rPr>
          <w:szCs w:val="16"/>
        </w:rPr>
        <w:t>а 4</w:t>
      </w:r>
      <w:r w:rsidRPr="00E32013">
        <w:rPr>
          <w:szCs w:val="16"/>
        </w:rPr>
        <w:t>)</w:t>
      </w:r>
      <w:r w:rsidR="00264D1F" w:rsidRPr="00E32013">
        <w:rPr>
          <w:szCs w:val="16"/>
        </w:rPr>
        <w:t xml:space="preserve"> с приложени</w:t>
      </w:r>
      <w:r w:rsidR="0037798A">
        <w:rPr>
          <w:szCs w:val="16"/>
        </w:rPr>
        <w:t>ем</w:t>
      </w:r>
      <w:r w:rsidRPr="00E32013">
        <w:rPr>
          <w:szCs w:val="16"/>
        </w:rPr>
        <w:t>;</w:t>
      </w:r>
    </w:p>
    <w:p w:rsidR="00010018" w:rsidRPr="000B2ACB" w:rsidRDefault="00010018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37798A" w:rsidRDefault="0053797C" w:rsidP="0037798A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37798A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37798A">
        <w:t xml:space="preserve">на выполнение работ по комплексному исследованию глубинных проб пластовых флюидов </w:t>
      </w:r>
      <w:r w:rsidR="0044773C">
        <w:t>тип</w:t>
      </w:r>
      <w:r w:rsidR="00AD6DBA" w:rsidRPr="00AD6DBA">
        <w:t xml:space="preserve"> сделки №</w:t>
      </w:r>
      <w:r w:rsidR="0044773C" w:rsidRPr="0044773C">
        <w:t>4</w:t>
      </w:r>
      <w:r w:rsidR="0037798A">
        <w:t>1</w:t>
      </w:r>
      <w:r w:rsidR="0044773C" w:rsidRPr="0044773C">
        <w:t>2 «</w:t>
      </w:r>
      <w:r w:rsidR="0037798A" w:rsidRPr="0037798A">
        <w:t>Отбор и анализ глубинных проб</w:t>
      </w:r>
      <w:r w:rsidR="0044773C" w:rsidRPr="0044773C">
        <w:t xml:space="preserve">» </w:t>
      </w:r>
      <w:r w:rsidR="00ED5419" w:rsidRPr="0037798A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Default="00556572" w:rsidP="00556572">
      <w:pPr>
        <w:jc w:val="both"/>
      </w:pPr>
    </w:p>
    <w:p w:rsidR="0037798A" w:rsidRPr="00AD6DBA" w:rsidRDefault="0037798A" w:rsidP="0037798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7798A" w:rsidRPr="00AD6DBA" w:rsidRDefault="0037798A" w:rsidP="0037798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7798A" w:rsidRDefault="0037798A" w:rsidP="00556572">
      <w:pPr>
        <w:jc w:val="both"/>
      </w:pPr>
    </w:p>
    <w:p w:rsidR="0037798A" w:rsidRPr="00D67B56" w:rsidRDefault="0037798A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</w:t>
      </w:r>
      <w:r w:rsidR="0065059D">
        <w:rPr>
          <w:b/>
        </w:rPr>
        <w:t>12</w:t>
      </w:r>
      <w:r w:rsidR="003868A9">
        <w:rPr>
          <w:b/>
        </w:rPr>
        <w:t xml:space="preserve"> </w:t>
      </w:r>
      <w:r w:rsidRPr="009C58FF">
        <w:rPr>
          <w:b/>
        </w:rPr>
        <w:t xml:space="preserve">» </w:t>
      </w:r>
      <w:r w:rsidR="0065059D">
        <w:rPr>
          <w:b/>
        </w:rPr>
        <w:t xml:space="preserve">марта 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65059D">
        <w:rPr>
          <w:b/>
        </w:rPr>
        <w:t>25</w:t>
      </w:r>
      <w:r w:rsidRPr="009C58FF">
        <w:rPr>
          <w:b/>
        </w:rPr>
        <w:t xml:space="preserve">» </w:t>
      </w:r>
      <w:r w:rsidR="0065059D">
        <w:rPr>
          <w:b/>
        </w:rPr>
        <w:t xml:space="preserve">марта 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E2381F">
        <w:rPr>
          <w:b/>
        </w:rPr>
        <w:t>0</w:t>
      </w:r>
      <w:r w:rsidRPr="009C58FF">
        <w:rPr>
          <w:b/>
        </w:rPr>
        <w:t xml:space="preserve">» </w:t>
      </w:r>
      <w:r w:rsidR="00E2381F">
        <w:rPr>
          <w:b/>
        </w:rPr>
        <w:t>июня</w:t>
      </w:r>
      <w:r w:rsidR="00F35815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37798A">
        <w:rPr>
          <w:b/>
        </w:rPr>
        <w:t>92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</w:t>
      </w:r>
      <w:r w:rsidR="0065059D">
        <w:rPr>
          <w:b/>
        </w:rPr>
        <w:t>12</w:t>
      </w:r>
      <w:r w:rsidR="00D67B56" w:rsidRPr="00D67B56">
        <w:rPr>
          <w:b/>
        </w:rPr>
        <w:t>»</w:t>
      </w:r>
      <w:r w:rsidR="0065059D">
        <w:rPr>
          <w:b/>
        </w:rPr>
        <w:t xml:space="preserve"> марта  </w:t>
      </w:r>
      <w:r w:rsidR="00D67B56" w:rsidRPr="00D67B56">
        <w:rPr>
          <w:b/>
        </w:rPr>
        <w:t>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</w:t>
      </w:r>
      <w:proofErr w:type="gramEnd"/>
      <w:r w:rsidRPr="0057045A">
        <w:rPr>
          <w:b/>
        </w:rPr>
        <w:t>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37798A" w:rsidRPr="0037798A">
        <w:t xml:space="preserve">«Критериям технической оценки оферт участников закупки на выполнение работ по комплексному исследованию глубинных проб пластовых флюидов тип сделки №412 «Отбор и анализ глубинных проб» (Форма 9) с заполненной и подписанной анкетой </w:t>
      </w:r>
      <w:r w:rsidR="0037798A" w:rsidRPr="0037798A">
        <w:lastRenderedPageBreak/>
        <w:t xml:space="preserve">соответствия критериям технической оценки оферт участников закупки (Приложение 1 к Форме 9).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37798A">
        <w:t>й</w:t>
      </w:r>
      <w:r w:rsidR="00F43122" w:rsidRPr="00D302C2">
        <w:t>, подписанны</w:t>
      </w:r>
      <w:r w:rsidR="0037798A">
        <w:t>й</w:t>
      </w:r>
      <w:r w:rsidR="00F43122" w:rsidRPr="00D302C2">
        <w:t xml:space="preserve"> </w:t>
      </w:r>
      <w:r w:rsidR="00F43122" w:rsidRPr="006936BF">
        <w:t>лот</w:t>
      </w:r>
      <w:r w:rsidR="0037798A">
        <w:t xml:space="preserve"> </w:t>
      </w:r>
      <w:r w:rsidR="00264D1F">
        <w:t xml:space="preserve">№ </w:t>
      </w:r>
      <w:r w:rsidR="0037798A">
        <w:t>1</w:t>
      </w:r>
      <w:r w:rsidR="00264D1F">
        <w:t xml:space="preserve"> </w:t>
      </w:r>
      <w:r w:rsidR="00F43122" w:rsidRPr="006936BF">
        <w:t>(Форм</w:t>
      </w:r>
      <w:r w:rsidR="0037798A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</w:t>
      </w:r>
      <w:r w:rsidR="00E2381F">
        <w:rPr>
          <w:b/>
        </w:rPr>
        <w:t>редставителем участника закупки</w:t>
      </w:r>
      <w:r w:rsidRPr="000127F9">
        <w:rPr>
          <w:b/>
        </w:rPr>
        <w:t xml:space="preserve">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65059D">
        <w:rPr>
          <w:u w:val="single"/>
        </w:rPr>
        <w:t>20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65059D">
        <w:rPr>
          <w:b/>
        </w:rPr>
        <w:t xml:space="preserve">марта  </w:t>
      </w:r>
      <w:r w:rsidRPr="000127F9">
        <w:rPr>
          <w:b/>
        </w:rPr>
        <w:t>201</w:t>
      </w:r>
      <w:r w:rsidR="00A72ED0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37798A" w:rsidRPr="006936BF" w:rsidRDefault="0037798A" w:rsidP="0037798A">
      <w:pPr>
        <w:ind w:firstLine="708"/>
        <w:jc w:val="both"/>
        <w:rPr>
          <w:rFonts w:eastAsia="Calibri"/>
        </w:rPr>
      </w:pPr>
      <w:r>
        <w:rPr>
          <w:rFonts w:eastAsia="Calibri"/>
        </w:rPr>
        <w:t>Начальник отдела разработки нефтегазовых месторождений</w:t>
      </w:r>
    </w:p>
    <w:p w:rsidR="0037798A" w:rsidRDefault="0037798A" w:rsidP="0037798A">
      <w:pPr>
        <w:ind w:firstLine="708"/>
        <w:jc w:val="both"/>
        <w:rPr>
          <w:rFonts w:eastAsia="Calibri"/>
        </w:rPr>
      </w:pPr>
      <w:r w:rsidRPr="0037798A">
        <w:rPr>
          <w:rFonts w:eastAsia="Calibri"/>
        </w:rPr>
        <w:t>Олейников Виталий Сергеевич</w:t>
      </w:r>
    </w:p>
    <w:p w:rsidR="0037798A" w:rsidRPr="006936BF" w:rsidRDefault="0037798A" w:rsidP="0037798A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43-511</w:t>
      </w:r>
      <w:r w:rsidRPr="006936BF">
        <w:rPr>
          <w:rFonts w:eastAsia="Calibri"/>
        </w:rPr>
        <w:t>,</w:t>
      </w:r>
      <w:r w:rsidRPr="006936BF">
        <w:rPr>
          <w:rFonts w:eastAsia="Calibri"/>
          <w:u w:val="single"/>
        </w:rPr>
        <w:t xml:space="preserve"> </w:t>
      </w:r>
      <w:hyperlink r:id="rId8" w:history="1">
        <w:r w:rsidRPr="006565E0">
          <w:rPr>
            <w:rStyle w:val="af4"/>
            <w:rFonts w:eastAsia="Calibri"/>
            <w:lang w:val="en-US"/>
          </w:rPr>
          <w:t>OleinikovVS</w:t>
        </w:r>
        <w:r w:rsidRPr="006565E0">
          <w:rPr>
            <w:rStyle w:val="af4"/>
            <w:rFonts w:eastAsia="Calibri"/>
          </w:rPr>
          <w:t>@mng.slavneft.ru</w:t>
        </w:r>
      </w:hyperlink>
      <w:r w:rsidRPr="006936BF">
        <w:rPr>
          <w:rFonts w:eastAsia="Calibri"/>
          <w:u w:val="single"/>
        </w:rPr>
        <w:t>;</w:t>
      </w:r>
    </w:p>
    <w:p w:rsidR="0037798A" w:rsidRDefault="0037798A" w:rsidP="0037798A">
      <w:pPr>
        <w:ind w:firstLine="708"/>
        <w:jc w:val="both"/>
        <w:rPr>
          <w:rFonts w:eastAsia="Calibri"/>
        </w:rPr>
      </w:pPr>
    </w:p>
    <w:p w:rsidR="0037798A" w:rsidRPr="006936BF" w:rsidRDefault="0037798A" w:rsidP="0037798A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 специалист отдела разработки нефтегазовых месторождений</w:t>
      </w:r>
    </w:p>
    <w:p w:rsidR="0037798A" w:rsidRDefault="0037798A" w:rsidP="0037798A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Литтау</w:t>
      </w:r>
      <w:proofErr w:type="spellEnd"/>
      <w:r>
        <w:rPr>
          <w:rFonts w:eastAsia="Calibri"/>
        </w:rPr>
        <w:t xml:space="preserve"> Татьяна Владимировна</w:t>
      </w:r>
    </w:p>
    <w:p w:rsidR="0037798A" w:rsidRPr="006936BF" w:rsidRDefault="0037798A" w:rsidP="0037798A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43-260</w:t>
      </w:r>
      <w:r w:rsidRPr="006936BF">
        <w:rPr>
          <w:rFonts w:eastAsia="Calibri"/>
        </w:rPr>
        <w:t>,</w:t>
      </w:r>
      <w:r w:rsidRPr="006936BF">
        <w:rPr>
          <w:rFonts w:eastAsia="Calibri"/>
          <w:u w:val="single"/>
        </w:rPr>
        <w:t xml:space="preserve"> </w:t>
      </w:r>
      <w:hyperlink r:id="rId9" w:history="1">
        <w:r w:rsidRPr="003B1CC7">
          <w:rPr>
            <w:rStyle w:val="af4"/>
            <w:rFonts w:eastAsia="Calibri"/>
            <w:lang w:val="en-US"/>
          </w:rPr>
          <w:t>LittauTV</w:t>
        </w:r>
        <w:r w:rsidRPr="003B1CC7">
          <w:rPr>
            <w:rStyle w:val="af4"/>
            <w:rFonts w:eastAsia="Calibri"/>
          </w:rPr>
          <w:t>@mng.slavneft.ru</w:t>
        </w:r>
      </w:hyperlink>
      <w:r w:rsidRPr="006936BF">
        <w:rPr>
          <w:rFonts w:eastAsia="Calibri"/>
          <w:u w:val="single"/>
        </w:rPr>
        <w:t>;</w:t>
      </w:r>
    </w:p>
    <w:p w:rsidR="0037798A" w:rsidRPr="006936BF" w:rsidRDefault="0037798A" w:rsidP="0037798A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C2D6B">
        <w:rPr>
          <w:b/>
          <w:sz w:val="22"/>
          <w:szCs w:val="22"/>
        </w:rPr>
        <w:t>92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65059D">
        <w:rPr>
          <w:b/>
          <w:sz w:val="22"/>
          <w:szCs w:val="22"/>
        </w:rPr>
        <w:t>12</w:t>
      </w:r>
      <w:r w:rsidR="00D96FC8" w:rsidRPr="00D96FC8">
        <w:rPr>
          <w:b/>
          <w:sz w:val="22"/>
          <w:szCs w:val="22"/>
        </w:rPr>
        <w:t>»</w:t>
      </w:r>
      <w:r w:rsidR="0065059D">
        <w:rPr>
          <w:b/>
          <w:sz w:val="22"/>
          <w:szCs w:val="22"/>
        </w:rPr>
        <w:t xml:space="preserve"> </w:t>
      </w:r>
      <w:r w:rsidR="0065059D">
        <w:rPr>
          <w:b/>
        </w:rPr>
        <w:t xml:space="preserve">марта  </w:t>
      </w:r>
      <w:r w:rsidR="00D96FC8" w:rsidRPr="00D96FC8">
        <w:rPr>
          <w:b/>
          <w:sz w:val="22"/>
          <w:szCs w:val="22"/>
        </w:rPr>
        <w:t>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96F53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A72ED0" w:rsidRPr="00AA01CC">
        <w:rPr>
          <w:rFonts w:eastAsia="Calibri"/>
          <w:b/>
          <w:lang w:eastAsia="en-US"/>
        </w:rPr>
        <w:t>на выполнение работ</w:t>
      </w:r>
      <w:r w:rsidR="00A72ED0" w:rsidRPr="00A72ED0">
        <w:rPr>
          <w:rFonts w:eastAsia="Calibri"/>
          <w:b/>
          <w:lang w:eastAsia="en-US"/>
        </w:rPr>
        <w:t xml:space="preserve"> по </w:t>
      </w:r>
      <w:r w:rsidR="008C2D6B">
        <w:rPr>
          <w:rFonts w:eastAsia="Calibri"/>
          <w:b/>
          <w:lang w:eastAsia="en-US"/>
        </w:rPr>
        <w:t>комплексному исследованию глубинных проб пластовых флюидов</w:t>
      </w:r>
      <w:r w:rsidR="00DA3559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8C2D6B">
              <w:rPr>
                <w:szCs w:val="16"/>
              </w:rPr>
              <w:t>5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C2D6B" w:rsidRPr="00F63D76" w:rsidTr="0092185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B" w:rsidRPr="00E27046" w:rsidRDefault="008C2D6B" w:rsidP="007A3B9D">
            <w:r w:rsidRPr="00E27046">
              <w:t>Увеличение (+</w:t>
            </w:r>
            <w:r w:rsidR="007A3B9D">
              <w:t>5</w:t>
            </w:r>
            <w:r w:rsidRPr="00E27046">
              <w:t>0)/уменьшение (-</w:t>
            </w:r>
            <w:r w:rsidR="007A3B9D">
              <w:t>5</w:t>
            </w:r>
            <w:bookmarkStart w:id="0" w:name="_GoBack"/>
            <w:bookmarkEnd w:id="0"/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6B" w:rsidRDefault="008C2D6B" w:rsidP="002960D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2D6B" w:rsidRPr="00E27046" w:rsidRDefault="008C2D6B" w:rsidP="002960D1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C2D6B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D6B" w:rsidRPr="00440CE1" w:rsidRDefault="008C2D6B" w:rsidP="002960D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8C2D6B" w:rsidRPr="00440CE1" w:rsidRDefault="008C2D6B" w:rsidP="002960D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D6B" w:rsidRPr="00F63D76" w:rsidRDefault="008C2D6B" w:rsidP="002960D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2D6B" w:rsidRPr="00F63D76" w:rsidRDefault="008C2D6B" w:rsidP="002960D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C2D6B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D6B" w:rsidRPr="00440CE1" w:rsidRDefault="008C2D6B" w:rsidP="002960D1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D6B" w:rsidRPr="00F63D76" w:rsidRDefault="008C2D6B" w:rsidP="002960D1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E2381F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E2381F">
        <w:rPr>
          <w:rFonts w:ascii="Times New Roman" w:hAnsi="Times New Roman"/>
        </w:rPr>
        <w:t>июня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65059D">
            <w:pPr>
              <w:jc w:val="right"/>
            </w:pPr>
            <w:r w:rsidRPr="000127F9">
              <w:t>Протокол  № _____</w:t>
            </w:r>
            <w:r w:rsidR="0065059D" w:rsidRPr="0065059D">
              <w:rPr>
                <w:u w:val="single"/>
              </w:rPr>
              <w:t>77</w:t>
            </w:r>
            <w:r w:rsidRPr="000127F9">
              <w:t>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65059D">
            <w:pPr>
              <w:jc w:val="right"/>
            </w:pPr>
            <w:r w:rsidRPr="000127F9">
              <w:t>«</w:t>
            </w:r>
            <w:r w:rsidR="0065059D">
              <w:t>12</w:t>
            </w:r>
            <w:r w:rsidRPr="000127F9">
              <w:t xml:space="preserve">» </w:t>
            </w:r>
            <w:r w:rsidR="0065059D" w:rsidRPr="0065059D">
              <w:t>марта</w:t>
            </w:r>
            <w:r w:rsidR="0065059D">
              <w:rPr>
                <w:b/>
              </w:rPr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C2D6B" w:rsidRPr="008C2D6B" w:rsidRDefault="008C2D6B" w:rsidP="008C2D6B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644" w:hanging="153"/>
        <w:jc w:val="both"/>
        <w:rPr>
          <w:b/>
        </w:rPr>
      </w:pPr>
      <w:r w:rsidRPr="008C2D6B">
        <w:rPr>
          <w:b/>
        </w:rPr>
        <w:t xml:space="preserve">Общие положения 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426"/>
        <w:jc w:val="both"/>
        <w:rPr>
          <w:b/>
        </w:rPr>
      </w:pPr>
      <w:r w:rsidRPr="008C2D6B">
        <w:t xml:space="preserve">Тип сделки: </w:t>
      </w:r>
      <w:r w:rsidRPr="008C2D6B">
        <w:rPr>
          <w:b/>
        </w:rPr>
        <w:t xml:space="preserve">№ 412 «Отбор и анализ глубинных проб» </w:t>
      </w:r>
    </w:p>
    <w:p w:rsidR="008C2D6B" w:rsidRPr="008C2D6B" w:rsidRDefault="008C2D6B" w:rsidP="008C2D6B">
      <w:pPr>
        <w:tabs>
          <w:tab w:val="num" w:pos="567"/>
        </w:tabs>
        <w:spacing w:line="276" w:lineRule="auto"/>
        <w:jc w:val="both"/>
        <w:rPr>
          <w:bCs/>
          <w:u w:val="single"/>
        </w:rPr>
      </w:pP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Вид исследования (предмет договора): 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firstLine="993"/>
        <w:jc w:val="both"/>
      </w:pPr>
      <w:r w:rsidRPr="008C2D6B">
        <w:t xml:space="preserve">«Комплексное исследование глубинных проб пластовых флюидов». </w:t>
      </w: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Заказчик: </w:t>
      </w:r>
      <w:r w:rsidRPr="008C2D6B">
        <w:rPr>
          <w:b/>
        </w:rPr>
        <w:t>ОАО «СН-МНГ».</w:t>
      </w: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Плановые сроки выполнения исследований: </w:t>
      </w:r>
    </w:p>
    <w:p w:rsidR="008C2D6B" w:rsidRPr="008C2D6B" w:rsidRDefault="008C2D6B" w:rsidP="008C2D6B">
      <w:pPr>
        <w:tabs>
          <w:tab w:val="num" w:pos="567"/>
        </w:tabs>
        <w:autoSpaceDE w:val="0"/>
        <w:autoSpaceDN w:val="0"/>
        <w:adjustRightInd w:val="0"/>
        <w:spacing w:line="276" w:lineRule="auto"/>
        <w:ind w:left="993" w:firstLine="426"/>
        <w:jc w:val="both"/>
        <w:rPr>
          <w:b/>
        </w:rPr>
      </w:pPr>
      <w:r w:rsidRPr="008C2D6B">
        <w:rPr>
          <w:b/>
          <w:lang w:eastAsia="en-US"/>
        </w:rPr>
        <w:t>01.05.2015г. – 31.12.2015г.</w:t>
      </w: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Объем работ: </w:t>
      </w:r>
    </w:p>
    <w:p w:rsidR="008C2D6B" w:rsidRPr="008C2D6B" w:rsidRDefault="008C2D6B" w:rsidP="008C2D6B">
      <w:pPr>
        <w:tabs>
          <w:tab w:val="num" w:pos="567"/>
        </w:tabs>
        <w:autoSpaceDE w:val="0"/>
        <w:autoSpaceDN w:val="0"/>
        <w:adjustRightInd w:val="0"/>
        <w:spacing w:line="276" w:lineRule="auto"/>
        <w:ind w:firstLine="1418"/>
        <w:jc w:val="both"/>
      </w:pPr>
      <w:r w:rsidRPr="008C2D6B">
        <w:rPr>
          <w:b/>
        </w:rPr>
        <w:t xml:space="preserve">75 </w:t>
      </w:r>
      <w:r w:rsidRPr="008C2D6B">
        <w:t>исследований.</w:t>
      </w:r>
    </w:p>
    <w:p w:rsidR="008C2D6B" w:rsidRPr="008C2D6B" w:rsidRDefault="008C2D6B" w:rsidP="008C2D6B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Стартовая стоимость договора (в рублях без учета НДС 18%): </w:t>
      </w:r>
    </w:p>
    <w:p w:rsidR="008C2D6B" w:rsidRPr="008C2D6B" w:rsidRDefault="008C2D6B" w:rsidP="008C2D6B">
      <w:pPr>
        <w:tabs>
          <w:tab w:val="num" w:pos="567"/>
        </w:tabs>
        <w:ind w:firstLine="1418"/>
      </w:pPr>
      <w:r w:rsidRPr="008C2D6B">
        <w:t>без указания стартовой стоимости.</w:t>
      </w:r>
    </w:p>
    <w:p w:rsidR="008C2D6B" w:rsidRPr="008C2D6B" w:rsidRDefault="008C2D6B" w:rsidP="008C2D6B">
      <w:pPr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firstLine="567"/>
        <w:jc w:val="both"/>
      </w:pPr>
      <w:r w:rsidRPr="008C2D6B">
        <w:t xml:space="preserve">Порядок оплаты: 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>Договор не предусматривает наличие предоплаты.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left="567" w:firstLine="426"/>
        <w:jc w:val="both"/>
      </w:pPr>
      <w:r w:rsidRPr="008C2D6B">
        <w:t xml:space="preserve">Заказчик обязуется осуществить оплату выполненных исследований в течение 90 (девяносто) календарных дней, но не ранее 60 (шестидесяти) дней с даты получения от Исполнителя оригиналов </w:t>
      </w:r>
      <w:proofErr w:type="gramStart"/>
      <w:r w:rsidRPr="008C2D6B">
        <w:t>счетов-фактуры</w:t>
      </w:r>
      <w:proofErr w:type="gramEnd"/>
      <w:r w:rsidRPr="008C2D6B">
        <w:t xml:space="preserve"> и Актов выполненных работ по комплексному исследованию глубинных проб пластовых флюидов.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  <w:r w:rsidRPr="008C2D6B">
        <w:rPr>
          <w:b/>
        </w:rPr>
        <w:t>2.  Основные требования к Претенденту</w:t>
      </w:r>
    </w:p>
    <w:p w:rsidR="008C2D6B" w:rsidRPr="008C2D6B" w:rsidRDefault="008C2D6B" w:rsidP="008C2D6B">
      <w:pPr>
        <w:spacing w:line="276" w:lineRule="auto"/>
        <w:ind w:left="142" w:firstLine="566"/>
        <w:jc w:val="both"/>
        <w:rPr>
          <w:lang/>
        </w:rPr>
      </w:pP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 xml:space="preserve">2.1. </w:t>
      </w:r>
      <w:r w:rsidRPr="008C2D6B">
        <w:rPr>
          <w:lang/>
        </w:rPr>
        <w:t>Качественное, своевременное выполнение полного объема исследований собственными силами подрядной организации, на основании условий предлагаемых к заключению Договора (Форма 6) и требованиям, изложенным в Техническом задании (Форма 5).</w:t>
      </w: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 xml:space="preserve">2.2. </w:t>
      </w:r>
      <w:r w:rsidRPr="008C2D6B">
        <w:rPr>
          <w:lang/>
        </w:rPr>
        <w:t xml:space="preserve">Комплексные лабораторно-аналитические исследования нефти, пластовых вод и растворенных газов необходимо проводить согласно ОСТ 153-39.2-048-2003 «Нефть. Типовое исследование </w:t>
      </w:r>
      <w:r w:rsidRPr="008C2D6B">
        <w:rPr>
          <w:color w:val="000000"/>
          <w:lang/>
        </w:rPr>
        <w:t xml:space="preserve">пластовых флюидов и сепарированных </w:t>
      </w:r>
      <w:proofErr w:type="spellStart"/>
      <w:r w:rsidRPr="008C2D6B">
        <w:rPr>
          <w:color w:val="000000"/>
          <w:lang/>
        </w:rPr>
        <w:t>нефтей</w:t>
      </w:r>
      <w:proofErr w:type="spellEnd"/>
      <w:r w:rsidRPr="008C2D6B">
        <w:rPr>
          <w:color w:val="000000"/>
          <w:lang/>
        </w:rPr>
        <w:t>»,</w:t>
      </w:r>
      <w:r w:rsidRPr="008C2D6B">
        <w:rPr>
          <w:lang/>
        </w:rPr>
        <w:t xml:space="preserve"> действующим ГОСТ, ОСТ, ГУ, СТП, РД, методикам на проведение лабораторных исследований</w:t>
      </w:r>
      <w:r w:rsidRPr="008C2D6B">
        <w:rPr>
          <w:lang/>
        </w:rPr>
        <w:t xml:space="preserve"> с </w:t>
      </w:r>
      <w:r w:rsidRPr="008C2D6B">
        <w:rPr>
          <w:lang/>
        </w:rPr>
        <w:t>соблюдением требований локально-нормативных актов и стандартов в области охраны труда, промышленной и пожарной безопасности, промышленной санитарии..</w:t>
      </w: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 xml:space="preserve">2.3. Определение компонентного состава пластовой и </w:t>
      </w:r>
      <w:proofErr w:type="spellStart"/>
      <w:r w:rsidRPr="008C2D6B">
        <w:rPr>
          <w:lang/>
        </w:rPr>
        <w:t>разгазированной</w:t>
      </w:r>
      <w:proofErr w:type="spellEnd"/>
      <w:r w:rsidRPr="008C2D6B">
        <w:rPr>
          <w:lang/>
        </w:rPr>
        <w:t xml:space="preserve"> нефти до С</w:t>
      </w:r>
      <w:r w:rsidRPr="008C2D6B">
        <w:rPr>
          <w:vertAlign w:val="subscript"/>
          <w:lang/>
        </w:rPr>
        <w:t>15+</w:t>
      </w:r>
      <w:r w:rsidRPr="008C2D6B">
        <w:rPr>
          <w:lang/>
        </w:rPr>
        <w:t xml:space="preserve"> с определением молярной массы остатка.</w:t>
      </w: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 xml:space="preserve">2.4. </w:t>
      </w:r>
      <w:r w:rsidRPr="008C2D6B">
        <w:rPr>
          <w:lang/>
        </w:rPr>
        <w:t xml:space="preserve">Специализированные лаборатории соответствующие требованиям Системы аккредитации аналитических лабораторий, а также требованиям ГОСТ РИСО/МЭК </w:t>
      </w:r>
      <w:r w:rsidRPr="008C2D6B">
        <w:rPr>
          <w:lang/>
        </w:rPr>
        <w:lastRenderedPageBreak/>
        <w:t>17025, должны быть аккредитованы на техническую компетентность и независимость и зарегистрированы в Государственном реестре.</w:t>
      </w:r>
    </w:p>
    <w:p w:rsidR="008C2D6B" w:rsidRPr="008C2D6B" w:rsidRDefault="008C2D6B" w:rsidP="008C2D6B">
      <w:pPr>
        <w:ind w:left="567" w:firstLine="426"/>
        <w:jc w:val="both"/>
      </w:pPr>
      <w:r w:rsidRPr="008C2D6B">
        <w:t>2.5. Иметь в наличии необходимое количество исправленных инструментов, измерительных приборов, оборудования, соответствующим рабочим условиям, материалов, хим. реагентов, а также резервного оборудования и материалов и хим. реагентов  для проведения Работ.</w:t>
      </w:r>
    </w:p>
    <w:p w:rsidR="008C2D6B" w:rsidRPr="008C2D6B" w:rsidRDefault="008C2D6B" w:rsidP="008C2D6B">
      <w:pPr>
        <w:ind w:left="567" w:firstLine="426"/>
        <w:jc w:val="both"/>
      </w:pPr>
      <w:r w:rsidRPr="008C2D6B">
        <w:t xml:space="preserve">2.6.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</w:t>
      </w: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>2.7. Привлечение субподрядчиков не допускается.</w:t>
      </w:r>
    </w:p>
    <w:p w:rsidR="008C2D6B" w:rsidRPr="008C2D6B" w:rsidRDefault="008C2D6B" w:rsidP="008C2D6B">
      <w:pPr>
        <w:spacing w:line="276" w:lineRule="auto"/>
        <w:ind w:left="567" w:firstLine="426"/>
        <w:jc w:val="both"/>
        <w:rPr>
          <w:lang/>
        </w:rPr>
      </w:pPr>
      <w:r w:rsidRPr="008C2D6B">
        <w:rPr>
          <w:lang/>
        </w:rPr>
        <w:t xml:space="preserve">2.8. Месторасположение специализированных лабораторий в районе проведения работ (удаленность не должна превышать 200 км от г. </w:t>
      </w:r>
      <w:proofErr w:type="spellStart"/>
      <w:r w:rsidRPr="008C2D6B">
        <w:rPr>
          <w:lang/>
        </w:rPr>
        <w:t>Мегиона</w:t>
      </w:r>
      <w:proofErr w:type="spellEnd"/>
      <w:r w:rsidRPr="008C2D6B">
        <w:rPr>
          <w:lang/>
        </w:rPr>
        <w:t>).</w:t>
      </w: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jc w:val="both"/>
        <w:rPr>
          <w:b/>
          <w:highlight w:val="yellow"/>
        </w:rPr>
      </w:pPr>
    </w:p>
    <w:p w:rsidR="008C2D6B" w:rsidRPr="008C2D6B" w:rsidRDefault="008C2D6B" w:rsidP="008C2D6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highlight w:val="yellow"/>
        </w:rPr>
      </w:pPr>
      <w:r w:rsidRPr="008C2D6B">
        <w:rPr>
          <w:b/>
        </w:rPr>
        <w:t>3.  Форма представления результатов выполнения лабораторных исследований</w:t>
      </w:r>
    </w:p>
    <w:p w:rsidR="008C2D6B" w:rsidRPr="008C2D6B" w:rsidRDefault="008C2D6B" w:rsidP="008C2D6B">
      <w:pPr>
        <w:autoSpaceDE w:val="0"/>
        <w:autoSpaceDN w:val="0"/>
        <w:adjustRightInd w:val="0"/>
        <w:jc w:val="both"/>
      </w:pPr>
    </w:p>
    <w:p w:rsidR="008C2D6B" w:rsidRPr="008C2D6B" w:rsidRDefault="008C2D6B" w:rsidP="008C2D6B">
      <w:pPr>
        <w:ind w:firstLine="709"/>
        <w:jc w:val="both"/>
      </w:pPr>
      <w:r>
        <w:t>3</w:t>
      </w:r>
      <w:r w:rsidRPr="008C2D6B">
        <w:t xml:space="preserve">.1. Результатом Работ по настоящему Договору являются технические отчеты, содержащие результаты исследований пластовых флюидов и состоящие из текстового (краткой пояснительной записки), табличного и графического материала, выполненные по ОСТ 153-39.2-048-2003 «Нефть. Типовое исследование </w:t>
      </w:r>
      <w:r w:rsidRPr="008C2D6B">
        <w:rPr>
          <w:color w:val="000000"/>
        </w:rPr>
        <w:t xml:space="preserve">пластовых флюидов и сепарированных </w:t>
      </w:r>
      <w:proofErr w:type="spellStart"/>
      <w:r w:rsidRPr="008C2D6B">
        <w:rPr>
          <w:color w:val="000000"/>
        </w:rPr>
        <w:t>нефтей</w:t>
      </w:r>
      <w:proofErr w:type="spellEnd"/>
      <w:r w:rsidRPr="008C2D6B">
        <w:rPr>
          <w:color w:val="000000"/>
        </w:rPr>
        <w:t>» с обязательным приложением пояснительной записки по оценке качества и достоверности результатов исследований.</w:t>
      </w:r>
    </w:p>
    <w:p w:rsidR="008C2D6B" w:rsidRPr="008C2D6B" w:rsidRDefault="008C2D6B" w:rsidP="008C2D6B">
      <w:pPr>
        <w:ind w:firstLine="709"/>
        <w:jc w:val="both"/>
      </w:pPr>
      <w:r w:rsidRPr="008C2D6B">
        <w:t xml:space="preserve">Кроме того, данные должны быть представлены в формате базы данных КБД ФХС Заказчика, представленного в Договоре (Приложении № 10) . Отчеты передаются </w:t>
      </w:r>
      <w:r w:rsidRPr="008C2D6B">
        <w:rPr>
          <w:b/>
        </w:rPr>
        <w:t>Заказчику</w:t>
      </w:r>
      <w:r w:rsidRPr="008C2D6B">
        <w:t xml:space="preserve"> на магнитных (в цифровом виде) и сброшюрованных бумажных носителях (в двух экземплярах) и становятся собственностью </w:t>
      </w:r>
      <w:r w:rsidRPr="008C2D6B">
        <w:rPr>
          <w:b/>
        </w:rPr>
        <w:t>Заказчика</w:t>
      </w:r>
      <w:r w:rsidRPr="008C2D6B">
        <w:t>.</w:t>
      </w:r>
    </w:p>
    <w:p w:rsidR="008C2D6B" w:rsidRPr="008C2D6B" w:rsidRDefault="008C2D6B" w:rsidP="008C2D6B">
      <w:pPr>
        <w:ind w:firstLine="709"/>
        <w:jc w:val="both"/>
      </w:pPr>
      <w:r>
        <w:t>3</w:t>
      </w:r>
      <w:r w:rsidRPr="008C2D6B">
        <w:t>.2. Результаты работ предоставляются Заказчику по мере выполнения исследований. Приемка работы в целом производится по результатам защиты у Заказчика научно-исследовательского отчета (ежемесячно). Полнота оценивается в соответствии с техническим заданием (ТЗ). По результатам приемки работ оформляется протокол, в котором оценивается качество и полнота выполненных работ, подлежащий утверждению со стороны руководства Заказчика.</w:t>
      </w:r>
    </w:p>
    <w:p w:rsidR="008C2D6B" w:rsidRPr="008C2D6B" w:rsidRDefault="008C2D6B" w:rsidP="008C2D6B">
      <w:pPr>
        <w:ind w:firstLine="709"/>
        <w:jc w:val="both"/>
      </w:pPr>
    </w:p>
    <w:p w:rsidR="0084618B" w:rsidRPr="00492398" w:rsidRDefault="008C2D6B" w:rsidP="00492398">
      <w:pPr>
        <w:jc w:val="both"/>
      </w:pPr>
      <w:r>
        <w:rPr>
          <w:b/>
        </w:rPr>
        <w:t>4</w:t>
      </w:r>
      <w:r w:rsidR="00492398" w:rsidRPr="00492398">
        <w:rPr>
          <w:b/>
        </w:rPr>
        <w:t>.</w:t>
      </w:r>
      <w:r w:rsidR="0084618B" w:rsidRPr="00492398">
        <w:rPr>
          <w:b/>
        </w:rPr>
        <w:t xml:space="preserve">  </w:t>
      </w:r>
      <w:r w:rsidR="008C338E" w:rsidRPr="00492398">
        <w:rPr>
          <w:b/>
        </w:rPr>
        <w:t>Особые</w:t>
      </w:r>
      <w:r w:rsidR="008C338E">
        <w:rPr>
          <w:b/>
        </w:rPr>
        <w:t xml:space="preserve"> условия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C338E" w:rsidRPr="00AA01CC" w:rsidRDefault="0084618B" w:rsidP="008C338E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5059D" w:rsidRDefault="0065059D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D2B" w:rsidRDefault="00AB0D2B">
      <w:r>
        <w:separator/>
      </w:r>
    </w:p>
  </w:endnote>
  <w:endnote w:type="continuationSeparator" w:id="0">
    <w:p w:rsidR="00AB0D2B" w:rsidRDefault="00AB0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D2B" w:rsidRDefault="00AB0D2B">
      <w:r>
        <w:separator/>
      </w:r>
    </w:p>
  </w:footnote>
  <w:footnote w:type="continuationSeparator" w:id="0">
    <w:p w:rsidR="00AB0D2B" w:rsidRDefault="00AB0D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DF4784"/>
    <w:multiLevelType w:val="hybridMultilevel"/>
    <w:tmpl w:val="ACB8B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4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26"/>
  </w:num>
  <w:num w:numId="4">
    <w:abstractNumId w:val="17"/>
  </w:num>
  <w:num w:numId="5">
    <w:abstractNumId w:val="19"/>
  </w:num>
  <w:num w:numId="6">
    <w:abstractNumId w:val="29"/>
  </w:num>
  <w:num w:numId="7">
    <w:abstractNumId w:val="2"/>
  </w:num>
  <w:num w:numId="8">
    <w:abstractNumId w:val="11"/>
  </w:num>
  <w:num w:numId="9">
    <w:abstractNumId w:val="22"/>
  </w:num>
  <w:num w:numId="10">
    <w:abstractNumId w:val="12"/>
  </w:num>
  <w:num w:numId="11">
    <w:abstractNumId w:val="28"/>
  </w:num>
  <w:num w:numId="12">
    <w:abstractNumId w:val="10"/>
  </w:num>
  <w:num w:numId="13">
    <w:abstractNumId w:val="24"/>
  </w:num>
  <w:num w:numId="14">
    <w:abstractNumId w:val="7"/>
  </w:num>
  <w:num w:numId="15">
    <w:abstractNumId w:val="18"/>
  </w:num>
  <w:num w:numId="16">
    <w:abstractNumId w:val="21"/>
  </w:num>
  <w:num w:numId="17">
    <w:abstractNumId w:val="3"/>
  </w:num>
  <w:num w:numId="18">
    <w:abstractNumId w:val="5"/>
  </w:num>
  <w:num w:numId="19">
    <w:abstractNumId w:val="15"/>
  </w:num>
  <w:num w:numId="20">
    <w:abstractNumId w:val="25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30"/>
  </w:num>
  <w:num w:numId="25">
    <w:abstractNumId w:val="9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7"/>
  </w:num>
  <w:num w:numId="29">
    <w:abstractNumId w:val="23"/>
  </w:num>
  <w:num w:numId="30">
    <w:abstractNumId w:val="20"/>
  </w:num>
  <w:num w:numId="31">
    <w:abstractNumId w:val="31"/>
  </w:num>
  <w:num w:numId="32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6F5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98A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59D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B9D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5A1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2D6B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0D2B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096F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096F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096F5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096F5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096F5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096F5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096F5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096F5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096F5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096F53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096F53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096F5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096F5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096F5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096F5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096F5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096F5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096F5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096F53"/>
    <w:pPr>
      <w:ind w:left="1920"/>
    </w:pPr>
    <w:rPr>
      <w:szCs w:val="21"/>
    </w:rPr>
  </w:style>
  <w:style w:type="paragraph" w:styleId="af1">
    <w:name w:val="Subtitle"/>
    <w:basedOn w:val="a8"/>
    <w:qFormat/>
    <w:rsid w:val="00096F53"/>
    <w:pPr>
      <w:jc w:val="center"/>
    </w:pPr>
    <w:rPr>
      <w:b/>
      <w:bCs/>
    </w:rPr>
  </w:style>
  <w:style w:type="paragraph" w:styleId="af2">
    <w:name w:val="header"/>
    <w:basedOn w:val="a8"/>
    <w:rsid w:val="00096F5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096F53"/>
    <w:pPr>
      <w:ind w:left="708"/>
    </w:pPr>
  </w:style>
  <w:style w:type="paragraph" w:styleId="21">
    <w:name w:val="Body Text Indent 2"/>
    <w:basedOn w:val="a8"/>
    <w:rsid w:val="00096F53"/>
    <w:pPr>
      <w:ind w:left="360"/>
    </w:pPr>
  </w:style>
  <w:style w:type="paragraph" w:styleId="31">
    <w:name w:val="Body Text Indent 3"/>
    <w:basedOn w:val="a8"/>
    <w:rsid w:val="00096F53"/>
    <w:pPr>
      <w:ind w:left="540"/>
    </w:pPr>
  </w:style>
  <w:style w:type="paragraph" w:customStyle="1" w:styleId="a1">
    <w:name w:val="Пункт"/>
    <w:basedOn w:val="a8"/>
    <w:rsid w:val="00096F5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096F5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096F5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096F5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096F5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096F5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096F53"/>
    <w:rPr>
      <w:color w:val="0000FF"/>
      <w:u w:val="single"/>
    </w:rPr>
  </w:style>
  <w:style w:type="paragraph" w:customStyle="1" w:styleId="11">
    <w:name w:val="Обычный1"/>
    <w:rsid w:val="00096F5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096F53"/>
    <w:pPr>
      <w:ind w:left="240" w:hanging="240"/>
    </w:pPr>
  </w:style>
  <w:style w:type="paragraph" w:styleId="22">
    <w:name w:val="index 2"/>
    <w:basedOn w:val="a8"/>
    <w:next w:val="a8"/>
    <w:autoRedefine/>
    <w:semiHidden/>
    <w:rsid w:val="00096F53"/>
    <w:pPr>
      <w:ind w:left="480" w:hanging="240"/>
    </w:pPr>
  </w:style>
  <w:style w:type="paragraph" w:styleId="32">
    <w:name w:val="index 3"/>
    <w:basedOn w:val="a8"/>
    <w:next w:val="a8"/>
    <w:autoRedefine/>
    <w:semiHidden/>
    <w:rsid w:val="00096F53"/>
    <w:pPr>
      <w:ind w:left="720" w:hanging="240"/>
    </w:pPr>
  </w:style>
  <w:style w:type="paragraph" w:styleId="41">
    <w:name w:val="index 4"/>
    <w:basedOn w:val="a8"/>
    <w:next w:val="a8"/>
    <w:autoRedefine/>
    <w:semiHidden/>
    <w:rsid w:val="00096F53"/>
    <w:pPr>
      <w:ind w:left="960" w:hanging="240"/>
    </w:pPr>
  </w:style>
  <w:style w:type="paragraph" w:styleId="51">
    <w:name w:val="index 5"/>
    <w:basedOn w:val="a8"/>
    <w:next w:val="a8"/>
    <w:autoRedefine/>
    <w:semiHidden/>
    <w:rsid w:val="00096F5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096F5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096F5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096F5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096F53"/>
    <w:pPr>
      <w:ind w:left="2160" w:hanging="240"/>
    </w:pPr>
  </w:style>
  <w:style w:type="paragraph" w:styleId="af5">
    <w:name w:val="index heading"/>
    <w:basedOn w:val="a8"/>
    <w:next w:val="12"/>
    <w:semiHidden/>
    <w:rsid w:val="00096F5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096F5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096F5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096F53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096F53"/>
    <w:rPr>
      <w:sz w:val="20"/>
      <w:szCs w:val="20"/>
    </w:rPr>
  </w:style>
  <w:style w:type="paragraph" w:styleId="afa">
    <w:name w:val="annotation subject"/>
    <w:basedOn w:val="af8"/>
    <w:next w:val="af8"/>
    <w:semiHidden/>
    <w:rsid w:val="00096F53"/>
    <w:rPr>
      <w:b/>
      <w:bCs/>
    </w:rPr>
  </w:style>
  <w:style w:type="paragraph" w:styleId="afb">
    <w:name w:val="Normal (Web)"/>
    <w:basedOn w:val="a8"/>
    <w:rsid w:val="00096F5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096F5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096F53"/>
    <w:rPr>
      <w:b/>
      <w:bCs/>
    </w:rPr>
  </w:style>
  <w:style w:type="paragraph" w:styleId="afd">
    <w:name w:val="Body Text"/>
    <w:basedOn w:val="a8"/>
    <w:rsid w:val="00096F53"/>
    <w:pPr>
      <w:spacing w:after="120"/>
    </w:pPr>
  </w:style>
  <w:style w:type="paragraph" w:styleId="afe">
    <w:name w:val="Block Text"/>
    <w:basedOn w:val="a8"/>
    <w:rsid w:val="00096F5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096F53"/>
    <w:rPr>
      <w:sz w:val="22"/>
      <w:szCs w:val="20"/>
    </w:rPr>
  </w:style>
  <w:style w:type="paragraph" w:styleId="33">
    <w:name w:val="Body Text 3"/>
    <w:basedOn w:val="a8"/>
    <w:rsid w:val="00096F5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096F5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096F5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096F5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096F5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096F5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096F53"/>
    <w:rPr>
      <w:color w:val="800080"/>
      <w:u w:val="single"/>
    </w:rPr>
  </w:style>
  <w:style w:type="paragraph" w:customStyle="1" w:styleId="rvps31451">
    <w:name w:val="rvps31451"/>
    <w:basedOn w:val="a8"/>
    <w:rsid w:val="00096F5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096F5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096F5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096F53"/>
  </w:style>
  <w:style w:type="paragraph" w:customStyle="1" w:styleId="a">
    <w:name w:val="Стиль заголовок"/>
    <w:basedOn w:val="a8"/>
    <w:rsid w:val="00096F5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096F5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inikovVS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ttauT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39EF-61BE-4689-862A-DB1C0F940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18411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42</cp:revision>
  <cp:lastPrinted>2015-02-12T06:03:00Z</cp:lastPrinted>
  <dcterms:created xsi:type="dcterms:W3CDTF">2014-09-23T09:09:00Z</dcterms:created>
  <dcterms:modified xsi:type="dcterms:W3CDTF">2015-03-12T05:33:00Z</dcterms:modified>
</cp:coreProperties>
</file>