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92"/>
        <w:tblW w:w="4503" w:type="dxa"/>
        <w:shd w:val="pct12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F35E49" w:rsidRPr="002E6B66" w:rsidTr="005C046D">
        <w:tc>
          <w:tcPr>
            <w:tcW w:w="4503" w:type="dxa"/>
            <w:shd w:val="pct12" w:color="auto" w:fill="auto"/>
          </w:tcPr>
          <w:p w:rsidR="00F35E49" w:rsidRPr="002E6B66" w:rsidRDefault="00F35E49" w:rsidP="005C046D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Приложение № 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7</w:t>
            </w:r>
          </w:p>
        </w:tc>
      </w:tr>
      <w:tr w:rsidR="00F35E49" w:rsidRPr="00505DC8" w:rsidTr="005C046D">
        <w:tc>
          <w:tcPr>
            <w:tcW w:w="4503" w:type="dxa"/>
            <w:shd w:val="pct12" w:color="auto" w:fill="auto"/>
          </w:tcPr>
          <w:p w:rsidR="00F35E49" w:rsidRPr="00505DC8" w:rsidRDefault="00F35E49" w:rsidP="005C046D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F35E49" w:rsidRPr="00505DC8" w:rsidTr="005C046D">
        <w:tc>
          <w:tcPr>
            <w:tcW w:w="4503" w:type="dxa"/>
            <w:shd w:val="pct12" w:color="auto" w:fill="auto"/>
          </w:tcPr>
          <w:p w:rsidR="00F35E49" w:rsidRPr="00505DC8" w:rsidRDefault="00F35E49" w:rsidP="005C046D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F35E49" w:rsidRPr="00505DC8" w:rsidTr="005C046D">
        <w:tc>
          <w:tcPr>
            <w:tcW w:w="4503" w:type="dxa"/>
            <w:shd w:val="pct12" w:color="auto" w:fill="auto"/>
          </w:tcPr>
          <w:p w:rsidR="00F35E49" w:rsidRPr="00505DC8" w:rsidRDefault="00F35E49" w:rsidP="005C046D">
            <w:pPr>
              <w:ind w:right="-141" w:firstLine="709"/>
              <w:rPr>
                <w:bCs/>
              </w:rPr>
            </w:pPr>
          </w:p>
        </w:tc>
      </w:tr>
    </w:tbl>
    <w:p w:rsidR="00F35E49" w:rsidRPr="0079749A" w:rsidRDefault="00F35E49">
      <w:pPr>
        <w:rPr>
          <w:lang w:val="en-US"/>
        </w:rPr>
      </w:pPr>
    </w:p>
    <w:p w:rsidR="00F35E49" w:rsidRPr="00F35E49" w:rsidRDefault="00F35E49" w:rsidP="00F35E49"/>
    <w:p w:rsidR="00F35E49" w:rsidRPr="00F35E49" w:rsidRDefault="00F35E49" w:rsidP="00F35E49"/>
    <w:p w:rsidR="00F35E49" w:rsidRPr="00F35E49" w:rsidRDefault="00F35E49" w:rsidP="00F35E49"/>
    <w:p w:rsidR="00F35E49" w:rsidRPr="00F35E49" w:rsidRDefault="00F35E49" w:rsidP="00F35E49"/>
    <w:p w:rsidR="00F35E49" w:rsidRDefault="00F35E49" w:rsidP="00073E5C">
      <w:pPr>
        <w:jc w:val="center"/>
      </w:pPr>
    </w:p>
    <w:p w:rsidR="00F35E49" w:rsidRPr="00F35E49" w:rsidRDefault="00F35E49" w:rsidP="00073E5C">
      <w:pPr>
        <w:ind w:right="-141" w:firstLine="709"/>
        <w:jc w:val="center"/>
        <w:rPr>
          <w:b/>
          <w:bCs/>
        </w:rPr>
      </w:pPr>
      <w:r w:rsidRPr="00F35E49">
        <w:rPr>
          <w:b/>
          <w:bCs/>
        </w:rPr>
        <w:t>Перечень нарушений для снижения стоимости работ</w:t>
      </w:r>
    </w:p>
    <w:p w:rsidR="00F35E49" w:rsidRPr="00F35E49" w:rsidRDefault="00073E5C" w:rsidP="00073E5C">
      <w:pPr>
        <w:ind w:right="-141" w:firstLine="709"/>
        <w:jc w:val="center"/>
        <w:rPr>
          <w:b/>
        </w:rPr>
      </w:pPr>
      <w:r>
        <w:rPr>
          <w:b/>
          <w:bCs/>
        </w:rPr>
        <w:t xml:space="preserve">при проведении  </w:t>
      </w:r>
      <w:r w:rsidR="00F35E49" w:rsidRPr="00F35E49">
        <w:rPr>
          <w:b/>
          <w:bCs/>
        </w:rPr>
        <w:t>ОПЗ</w:t>
      </w:r>
      <w:r w:rsidR="0031128B">
        <w:rPr>
          <w:b/>
          <w:bCs/>
        </w:rPr>
        <w:t xml:space="preserve"> </w:t>
      </w:r>
      <w:bookmarkStart w:id="0" w:name="_GoBack"/>
      <w:bookmarkEnd w:id="0"/>
    </w:p>
    <w:p w:rsidR="00F35E49" w:rsidRPr="00F35E49" w:rsidRDefault="00F35E49" w:rsidP="00073E5C">
      <w:pPr>
        <w:spacing w:after="120"/>
        <w:ind w:right="-141" w:firstLine="709"/>
        <w:jc w:val="center"/>
        <w:rPr>
          <w:b/>
          <w:bCs/>
          <w:lang w:val="x-none" w:eastAsia="x-none"/>
        </w:rPr>
      </w:pPr>
      <w:r w:rsidRPr="00F35E49">
        <w:rPr>
          <w:b/>
          <w:bCs/>
          <w:lang w:val="x-none" w:eastAsia="x-none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повышению </w:t>
      </w:r>
      <w:proofErr w:type="spellStart"/>
      <w:r w:rsidRPr="00F35E49">
        <w:rPr>
          <w:b/>
          <w:bCs/>
          <w:lang w:val="x-none" w:eastAsia="x-none"/>
        </w:rPr>
        <w:t>нефтеотдачи</w:t>
      </w:r>
      <w:proofErr w:type="spellEnd"/>
      <w:r w:rsidRPr="00F35E49">
        <w:rPr>
          <w:b/>
          <w:bCs/>
          <w:lang w:val="x-none" w:eastAsia="x-none"/>
        </w:rPr>
        <w:t xml:space="preserve"> пластов</w:t>
      </w:r>
      <w:r w:rsidR="00073E5C">
        <w:rPr>
          <w:b/>
          <w:bCs/>
          <w:lang w:eastAsia="x-none"/>
        </w:rPr>
        <w:t xml:space="preserve"> </w:t>
      </w:r>
      <w:r w:rsidR="00073E5C">
        <w:rPr>
          <w:b/>
          <w:bCs/>
          <w:lang w:val="x-none" w:eastAsia="x-none"/>
        </w:rPr>
        <w:t>ОПЗ</w:t>
      </w:r>
      <w:r w:rsidRPr="00F35E49">
        <w:rPr>
          <w:b/>
          <w:bCs/>
          <w:lang w:val="x-none" w:eastAsia="x-none"/>
        </w:rPr>
        <w:t>.</w:t>
      </w:r>
    </w:p>
    <w:p w:rsidR="00F35E49" w:rsidRPr="00F35E49" w:rsidRDefault="00F35E49" w:rsidP="00F35E49">
      <w:pPr>
        <w:tabs>
          <w:tab w:val="left" w:pos="540"/>
          <w:tab w:val="left" w:pos="5850"/>
        </w:tabs>
        <w:spacing w:before="60"/>
        <w:ind w:right="-141" w:firstLine="709"/>
        <w:jc w:val="both"/>
        <w:rPr>
          <w:i/>
          <w:iCs/>
          <w:color w:val="FF0000"/>
          <w:lang w:val="x-none" w:eastAsia="x-none"/>
        </w:rPr>
      </w:pP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F35E49">
        <w:rPr>
          <w:highlight w:val="lightGray"/>
          <w:lang w:val="x-none" w:eastAsia="x-none"/>
        </w:rPr>
        <w:softHyphen/>
        <w:t xml:space="preserve">чинении бригады (вахты). 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F35E49">
        <w:rPr>
          <w:highlight w:val="lightGray"/>
          <w:lang w:eastAsia="x-none"/>
        </w:rPr>
        <w:t xml:space="preserve">материалы и </w:t>
      </w:r>
      <w:r w:rsidRPr="00F35E49">
        <w:rPr>
          <w:highlight w:val="lightGray"/>
          <w:lang w:val="x-none" w:eastAsia="x-none"/>
        </w:rPr>
        <w:t>хим.</w:t>
      </w:r>
      <w:r w:rsidRPr="00F35E49">
        <w:rPr>
          <w:highlight w:val="lightGray"/>
          <w:lang w:eastAsia="x-none"/>
        </w:rPr>
        <w:t xml:space="preserve"> </w:t>
      </w:r>
      <w:r w:rsidRPr="00F35E49">
        <w:rPr>
          <w:highlight w:val="lightGray"/>
          <w:lang w:val="x-none" w:eastAsia="x-none"/>
        </w:rPr>
        <w:t xml:space="preserve">реагенты. 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Работы ведутся без (или с неисправными) средствами контроля.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Не выдержано расстояние от ЛЭП до вагончиков.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 xml:space="preserve">Отсутствует график зачистки емкости. 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Производство работ ведётся персоналом  без средств индивидуальной защиты.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Работы ведутся неполным составом вахты.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>Не выполнены пункты предписаний в установленные сроки предыдущих проверок.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 xml:space="preserve">Отклонение от плана работ без согласования с Заказчиком по замене </w:t>
      </w:r>
      <w:r w:rsidRPr="00F35E49">
        <w:rPr>
          <w:highlight w:val="lightGray"/>
          <w:lang w:eastAsia="x-none"/>
        </w:rPr>
        <w:t xml:space="preserve">материалов </w:t>
      </w:r>
      <w:r w:rsidRPr="00F35E49">
        <w:rPr>
          <w:highlight w:val="lightGray"/>
          <w:lang w:val="x-none" w:eastAsia="x-none"/>
        </w:rPr>
        <w:t>хим. реагентов, указанных в плане работ.</w:t>
      </w:r>
    </w:p>
    <w:p w:rsidR="00F35E49" w:rsidRPr="00F35E49" w:rsidRDefault="00F35E49" w:rsidP="00F35E49">
      <w:pPr>
        <w:numPr>
          <w:ilvl w:val="0"/>
          <w:numId w:val="1"/>
        </w:num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F35E49">
        <w:rPr>
          <w:highlight w:val="lightGray"/>
          <w:lang w:val="x-none" w:eastAsia="x-none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F35E49" w:rsidRPr="00F35E49" w:rsidRDefault="00F35E49" w:rsidP="00F35E49">
      <w:pPr>
        <w:spacing w:after="120"/>
        <w:ind w:right="-141" w:firstLine="709"/>
        <w:rPr>
          <w:b/>
          <w:highlight w:val="lightGray"/>
          <w:u w:val="single"/>
          <w:lang w:eastAsia="x-none"/>
        </w:rPr>
      </w:pPr>
      <w:r w:rsidRPr="00F35E49">
        <w:rPr>
          <w:b/>
          <w:highlight w:val="lightGray"/>
          <w:u w:val="single"/>
          <w:lang w:val="x-none" w:eastAsia="x-none"/>
        </w:rPr>
        <w:t>За каждый остановочный пункт стоимость работ снижается на 10%</w:t>
      </w:r>
      <w:r w:rsidRPr="00F35E49">
        <w:rPr>
          <w:b/>
          <w:highlight w:val="lightGray"/>
          <w:u w:val="single"/>
          <w:lang w:eastAsia="x-none"/>
        </w:rPr>
        <w:t>.</w:t>
      </w:r>
    </w:p>
    <w:p w:rsidR="00F35E49" w:rsidRPr="00F35E49" w:rsidRDefault="00F35E49" w:rsidP="00F35E49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F35E49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F35E49" w:rsidRPr="00AE52EC" w:rsidRDefault="00F35E49" w:rsidP="00120600">
      <w:pPr>
        <w:tabs>
          <w:tab w:val="left" w:pos="5850"/>
        </w:tabs>
        <w:spacing w:after="120"/>
        <w:ind w:right="-141" w:firstLine="709"/>
        <w:jc w:val="both"/>
        <w:rPr>
          <w:highlight w:val="lightGray"/>
        </w:rPr>
      </w:pPr>
      <w:r w:rsidRPr="00F35E49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AE52EC" w:rsidRPr="0079749A" w:rsidRDefault="00AE52EC" w:rsidP="0079749A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7A22E8">
        <w:rPr>
          <w:b/>
          <w:iCs/>
          <w:highlight w:val="lightGray"/>
        </w:rPr>
        <w:lastRenderedPageBreak/>
        <w:t>Работы Подрядчика, связанные с устранением нарушений после остановки бригады, оплате не подлежат.</w:t>
      </w:r>
    </w:p>
    <w:p w:rsidR="00F35E49" w:rsidRDefault="00F35E49" w:rsidP="007002F9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>Таблица №</w:t>
      </w:r>
      <w:r w:rsidR="007002F9">
        <w:rPr>
          <w:b/>
          <w:bCs/>
          <w:sz w:val="20"/>
          <w:szCs w:val="20"/>
          <w:highlight w:val="lightGray"/>
        </w:rPr>
        <w:t>1.</w:t>
      </w:r>
    </w:p>
    <w:p w:rsidR="00120600" w:rsidRPr="00EF2410" w:rsidRDefault="00120600" w:rsidP="00120600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p w:rsidR="00F35E49" w:rsidRDefault="00F35E49" w:rsidP="00F35E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3367"/>
      </w:tblGrid>
      <w:tr w:rsidR="00F35E49" w:rsidTr="00F35E49">
        <w:trPr>
          <w:trHeight w:val="352"/>
        </w:trPr>
        <w:tc>
          <w:tcPr>
            <w:tcW w:w="540" w:type="dxa"/>
          </w:tcPr>
          <w:p w:rsidR="00F35E49" w:rsidRPr="00F35E49" w:rsidRDefault="00F35E49" w:rsidP="00F35E4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64" w:type="dxa"/>
          </w:tcPr>
          <w:p w:rsidR="00F35E49" w:rsidRDefault="00F35E49" w:rsidP="00F35E49">
            <w:pPr>
              <w:rPr>
                <w:highlight w:val="lightGray"/>
              </w:rPr>
            </w:pPr>
          </w:p>
          <w:p w:rsidR="00F35E49" w:rsidRDefault="00F35E49" w:rsidP="00F35E49">
            <w:pPr>
              <w:jc w:val="center"/>
            </w:pPr>
            <w:r w:rsidRPr="00F35E49">
              <w:rPr>
                <w:highlight w:val="lightGray"/>
              </w:rPr>
              <w:t>Вид нарушения</w:t>
            </w:r>
          </w:p>
        </w:tc>
        <w:tc>
          <w:tcPr>
            <w:tcW w:w="3367" w:type="dxa"/>
          </w:tcPr>
          <w:p w:rsidR="00F35E49" w:rsidRDefault="00F35E49" w:rsidP="00F35E49">
            <w:pPr>
              <w:jc w:val="center"/>
            </w:pPr>
            <w:r w:rsidRPr="007A22E8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F35E49" w:rsidTr="00F35E49">
        <w:tc>
          <w:tcPr>
            <w:tcW w:w="540" w:type="dxa"/>
          </w:tcPr>
          <w:p w:rsidR="00F35E49" w:rsidRDefault="00F35E49" w:rsidP="007002F9">
            <w:pPr>
              <w:jc w:val="center"/>
            </w:pPr>
          </w:p>
          <w:p w:rsidR="00F35E49" w:rsidRDefault="00F35E49" w:rsidP="007002F9">
            <w:pPr>
              <w:jc w:val="center"/>
            </w:pPr>
            <w:r>
              <w:t>1.</w:t>
            </w:r>
          </w:p>
        </w:tc>
        <w:tc>
          <w:tcPr>
            <w:tcW w:w="5664" w:type="dxa"/>
          </w:tcPr>
          <w:p w:rsidR="00F35E49" w:rsidRDefault="00F35E4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Искажение, фальсификация либо </w:t>
            </w:r>
            <w:r w:rsidR="007002F9">
              <w:rPr>
                <w:color w:val="000000"/>
                <w:highlight w:val="lightGray"/>
              </w:rPr>
              <w:t xml:space="preserve">не своевременное предоставление информации </w:t>
            </w:r>
            <w:r w:rsidRPr="007A22E8">
              <w:rPr>
                <w:color w:val="000000"/>
                <w:highlight w:val="lightGray"/>
              </w:rPr>
              <w:t>(сводки) о проделанной работе.</w:t>
            </w:r>
          </w:p>
        </w:tc>
        <w:tc>
          <w:tcPr>
            <w:tcW w:w="3367" w:type="dxa"/>
          </w:tcPr>
          <w:p w:rsidR="00F35E49" w:rsidRDefault="00F35E49" w:rsidP="007002F9">
            <w:pPr>
              <w:jc w:val="center"/>
              <w:rPr>
                <w:color w:val="000000"/>
                <w:highlight w:val="lightGray"/>
              </w:rPr>
            </w:pPr>
          </w:p>
          <w:p w:rsidR="00F35E49" w:rsidRDefault="00F35E4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>4%</w:t>
            </w:r>
          </w:p>
        </w:tc>
      </w:tr>
      <w:tr w:rsidR="007002F9" w:rsidTr="00F35E49">
        <w:tc>
          <w:tcPr>
            <w:tcW w:w="540" w:type="dxa"/>
            <w:vMerge w:val="restart"/>
          </w:tcPr>
          <w:p w:rsidR="007002F9" w:rsidRDefault="007002F9" w:rsidP="007002F9">
            <w:pPr>
              <w:jc w:val="center"/>
            </w:pPr>
            <w:r>
              <w:t>2.</w:t>
            </w: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</w:pPr>
          </w:p>
        </w:tc>
      </w:tr>
      <w:tr w:rsidR="007002F9" w:rsidTr="00F35E49">
        <w:tc>
          <w:tcPr>
            <w:tcW w:w="540" w:type="dxa"/>
            <w:vMerge/>
          </w:tcPr>
          <w:p w:rsidR="007002F9" w:rsidRDefault="007002F9" w:rsidP="007002F9">
            <w:pPr>
              <w:jc w:val="center"/>
            </w:pP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а) отклонения от плана работ без согласования с Заказчиком по подготовительным мероприятиям (определение приемистости </w:t>
            </w:r>
            <w:proofErr w:type="spellStart"/>
            <w:r w:rsidRPr="007A22E8">
              <w:rPr>
                <w:color w:val="000000"/>
                <w:highlight w:val="lightGray"/>
              </w:rPr>
              <w:t>опрессовки</w:t>
            </w:r>
            <w:proofErr w:type="spellEnd"/>
            <w:r w:rsidRPr="007A22E8">
              <w:rPr>
                <w:color w:val="000000"/>
                <w:highlight w:val="lightGray"/>
              </w:rPr>
              <w:t>, промывки и т.д.);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  <w:rPr>
                <w:color w:val="000000"/>
                <w:highlight w:val="lightGray"/>
              </w:rPr>
            </w:pPr>
          </w:p>
          <w:p w:rsidR="007002F9" w:rsidRDefault="007002F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>а) 5%</w:t>
            </w:r>
          </w:p>
        </w:tc>
      </w:tr>
      <w:tr w:rsidR="007002F9" w:rsidTr="00F35E49">
        <w:tc>
          <w:tcPr>
            <w:tcW w:w="540" w:type="dxa"/>
            <w:vMerge/>
          </w:tcPr>
          <w:p w:rsidR="007002F9" w:rsidRDefault="007002F9" w:rsidP="007002F9">
            <w:pPr>
              <w:jc w:val="center"/>
            </w:pP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>б) 10%</w:t>
            </w:r>
          </w:p>
        </w:tc>
      </w:tr>
      <w:tr w:rsidR="007002F9" w:rsidTr="00F35E49">
        <w:tc>
          <w:tcPr>
            <w:tcW w:w="540" w:type="dxa"/>
            <w:vMerge/>
          </w:tcPr>
          <w:p w:rsidR="007002F9" w:rsidRDefault="007002F9" w:rsidP="007002F9">
            <w:pPr>
              <w:jc w:val="center"/>
            </w:pP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>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  <w:rPr>
                <w:color w:val="000000"/>
                <w:highlight w:val="lightGray"/>
              </w:rPr>
            </w:pPr>
          </w:p>
          <w:p w:rsidR="007002F9" w:rsidRDefault="007002F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>в) 10%</w:t>
            </w:r>
          </w:p>
        </w:tc>
      </w:tr>
      <w:tr w:rsidR="007002F9" w:rsidTr="00F35E49">
        <w:tc>
          <w:tcPr>
            <w:tcW w:w="540" w:type="dxa"/>
            <w:vMerge/>
          </w:tcPr>
          <w:p w:rsidR="007002F9" w:rsidRDefault="007002F9" w:rsidP="007002F9">
            <w:pPr>
              <w:jc w:val="center"/>
            </w:pP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 xml:space="preserve">г) 15% + </w:t>
            </w:r>
            <w:r w:rsidRPr="007A22E8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F35E49" w:rsidTr="00F35E49">
        <w:tc>
          <w:tcPr>
            <w:tcW w:w="540" w:type="dxa"/>
          </w:tcPr>
          <w:p w:rsidR="00F35E49" w:rsidRDefault="007002F9" w:rsidP="007002F9">
            <w:pPr>
              <w:jc w:val="center"/>
            </w:pPr>
            <w:r>
              <w:t>3.</w:t>
            </w:r>
          </w:p>
        </w:tc>
        <w:tc>
          <w:tcPr>
            <w:tcW w:w="5664" w:type="dxa"/>
          </w:tcPr>
          <w:p w:rsidR="00F35E4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Возобновление работы бригады без разрешения после ее остановки региональной службой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супервайзинга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(с оформлением акта).</w:t>
            </w:r>
          </w:p>
        </w:tc>
        <w:tc>
          <w:tcPr>
            <w:tcW w:w="3367" w:type="dxa"/>
          </w:tcPr>
          <w:p w:rsidR="007002F9" w:rsidRDefault="007002F9" w:rsidP="007002F9">
            <w:pPr>
              <w:jc w:val="center"/>
              <w:rPr>
                <w:color w:val="000000"/>
                <w:highlight w:val="lightGray"/>
              </w:rPr>
            </w:pPr>
          </w:p>
          <w:p w:rsidR="00F35E49" w:rsidRDefault="007002F9" w:rsidP="007002F9">
            <w:pPr>
              <w:jc w:val="center"/>
            </w:pPr>
            <w:r w:rsidRPr="007A22E8">
              <w:rPr>
                <w:color w:val="000000"/>
                <w:highlight w:val="lightGray"/>
              </w:rPr>
              <w:t>20%</w:t>
            </w:r>
          </w:p>
        </w:tc>
      </w:tr>
      <w:tr w:rsidR="00F35E49" w:rsidTr="00F35E49">
        <w:tc>
          <w:tcPr>
            <w:tcW w:w="540" w:type="dxa"/>
          </w:tcPr>
          <w:p w:rsidR="00F35E49" w:rsidRDefault="007002F9" w:rsidP="007002F9">
            <w:pPr>
              <w:jc w:val="center"/>
            </w:pPr>
            <w:r>
              <w:t>4.</w:t>
            </w:r>
          </w:p>
        </w:tc>
        <w:tc>
          <w:tcPr>
            <w:tcW w:w="5664" w:type="dxa"/>
          </w:tcPr>
          <w:p w:rsidR="00F35E4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7A22E8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3367" w:type="dxa"/>
          </w:tcPr>
          <w:p w:rsidR="00F35E4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3%</w:t>
            </w:r>
          </w:p>
        </w:tc>
      </w:tr>
      <w:tr w:rsidR="00F35E49" w:rsidTr="00F35E49">
        <w:tc>
          <w:tcPr>
            <w:tcW w:w="540" w:type="dxa"/>
          </w:tcPr>
          <w:p w:rsidR="00F35E49" w:rsidRDefault="007002F9" w:rsidP="007002F9">
            <w:pPr>
              <w:jc w:val="center"/>
            </w:pPr>
            <w:r>
              <w:t>5.</w:t>
            </w:r>
          </w:p>
        </w:tc>
        <w:tc>
          <w:tcPr>
            <w:tcW w:w="5664" w:type="dxa"/>
          </w:tcPr>
          <w:p w:rsidR="00F35E4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7A22E8">
              <w:rPr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3367" w:type="dxa"/>
          </w:tcPr>
          <w:p w:rsidR="00F35E4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F35E49" w:rsidTr="00F35E49">
        <w:tc>
          <w:tcPr>
            <w:tcW w:w="540" w:type="dxa"/>
          </w:tcPr>
          <w:p w:rsidR="00F35E49" w:rsidRDefault="007002F9" w:rsidP="007002F9">
            <w:pPr>
              <w:jc w:val="center"/>
            </w:pPr>
            <w:r>
              <w:t>6.</w:t>
            </w:r>
          </w:p>
        </w:tc>
        <w:tc>
          <w:tcPr>
            <w:tcW w:w="5664" w:type="dxa"/>
          </w:tcPr>
          <w:p w:rsidR="00F35E49" w:rsidRDefault="007002F9" w:rsidP="007002F9">
            <w:pPr>
              <w:jc w:val="both"/>
            </w:pPr>
            <w:proofErr w:type="gramStart"/>
            <w:r w:rsidRPr="007A22E8">
              <w:rPr>
                <w:color w:val="000000"/>
                <w:highlight w:val="lightGray"/>
              </w:rPr>
              <w:t xml:space="preserve">Не вызван представитель службы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супервайзинга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на подготовительные и начало работ.</w:t>
            </w:r>
            <w:proofErr w:type="gramEnd"/>
          </w:p>
        </w:tc>
        <w:tc>
          <w:tcPr>
            <w:tcW w:w="3367" w:type="dxa"/>
          </w:tcPr>
          <w:p w:rsidR="00F35E4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F35E49" w:rsidTr="00F35E49">
        <w:tc>
          <w:tcPr>
            <w:tcW w:w="540" w:type="dxa"/>
          </w:tcPr>
          <w:p w:rsidR="00F35E49" w:rsidRDefault="007002F9" w:rsidP="007002F9">
            <w:pPr>
              <w:jc w:val="center"/>
            </w:pPr>
            <w:r>
              <w:t>7.</w:t>
            </w:r>
          </w:p>
        </w:tc>
        <w:tc>
          <w:tcPr>
            <w:tcW w:w="5664" w:type="dxa"/>
          </w:tcPr>
          <w:p w:rsidR="00F35E4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7A22E8">
              <w:rPr>
                <w:color w:val="000000"/>
                <w:highlight w:val="lightGray"/>
              </w:rPr>
              <w:t>о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7A22E8">
              <w:rPr>
                <w:color w:val="000000"/>
                <w:highlight w:val="lightGray"/>
              </w:rPr>
              <w:t>режимно</w:t>
            </w:r>
            <w:proofErr w:type="spellEnd"/>
            <w:r w:rsidRPr="007A22E8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3367" w:type="dxa"/>
          </w:tcPr>
          <w:p w:rsidR="00F35E4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7002F9" w:rsidTr="00F35E49">
        <w:tc>
          <w:tcPr>
            <w:tcW w:w="540" w:type="dxa"/>
          </w:tcPr>
          <w:p w:rsidR="007002F9" w:rsidRDefault="007002F9" w:rsidP="007002F9">
            <w:pPr>
              <w:jc w:val="center"/>
            </w:pPr>
            <w:r>
              <w:t>8.</w:t>
            </w:r>
          </w:p>
          <w:p w:rsidR="007002F9" w:rsidRDefault="007002F9" w:rsidP="007002F9">
            <w:pPr>
              <w:jc w:val="center"/>
            </w:pPr>
          </w:p>
        </w:tc>
        <w:tc>
          <w:tcPr>
            <w:tcW w:w="5664" w:type="dxa"/>
          </w:tcPr>
          <w:p w:rsidR="007002F9" w:rsidRDefault="007002F9" w:rsidP="006F49E2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</w:t>
            </w:r>
            <w:r w:rsidR="006F49E2">
              <w:rPr>
                <w:color w:val="000000"/>
                <w:highlight w:val="lightGray"/>
              </w:rPr>
              <w:t>Подрядчика</w:t>
            </w:r>
            <w:r w:rsidRPr="007A22E8">
              <w:rPr>
                <w:color w:val="000000"/>
                <w:highlight w:val="lightGray"/>
              </w:rPr>
              <w:t xml:space="preserve"> работ.</w:t>
            </w:r>
          </w:p>
        </w:tc>
        <w:tc>
          <w:tcPr>
            <w:tcW w:w="3367" w:type="dxa"/>
          </w:tcPr>
          <w:p w:rsidR="007002F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7002F9" w:rsidTr="00F35E49">
        <w:tc>
          <w:tcPr>
            <w:tcW w:w="540" w:type="dxa"/>
          </w:tcPr>
          <w:p w:rsidR="007002F9" w:rsidRDefault="007002F9" w:rsidP="007002F9">
            <w:pPr>
              <w:jc w:val="center"/>
            </w:pPr>
            <w:r>
              <w:t>9.</w:t>
            </w:r>
          </w:p>
        </w:tc>
        <w:tc>
          <w:tcPr>
            <w:tcW w:w="5664" w:type="dxa"/>
          </w:tcPr>
          <w:p w:rsidR="007002F9" w:rsidRDefault="007002F9" w:rsidP="007002F9">
            <w:pPr>
              <w:jc w:val="both"/>
            </w:pPr>
            <w:r w:rsidRPr="007A22E8">
              <w:rPr>
                <w:color w:val="000000"/>
                <w:highlight w:val="lightGray"/>
              </w:rPr>
              <w:t xml:space="preserve">Отказ представителя </w:t>
            </w:r>
            <w:r>
              <w:rPr>
                <w:color w:val="000000"/>
                <w:highlight w:val="lightGray"/>
              </w:rPr>
              <w:t>Подрядчика</w:t>
            </w:r>
            <w:r w:rsidRPr="007A22E8">
              <w:rPr>
                <w:color w:val="000000"/>
                <w:highlight w:val="lightGray"/>
              </w:rPr>
              <w:t xml:space="preserve"> от подписи в актах представителей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3367" w:type="dxa"/>
          </w:tcPr>
          <w:p w:rsidR="007002F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  <w:tr w:rsidR="007002F9" w:rsidTr="00F35E49">
        <w:tc>
          <w:tcPr>
            <w:tcW w:w="540" w:type="dxa"/>
          </w:tcPr>
          <w:p w:rsidR="007002F9" w:rsidRDefault="007002F9" w:rsidP="007002F9">
            <w:pPr>
              <w:jc w:val="center"/>
            </w:pPr>
            <w:r>
              <w:lastRenderedPageBreak/>
              <w:t>10.</w:t>
            </w:r>
          </w:p>
        </w:tc>
        <w:tc>
          <w:tcPr>
            <w:tcW w:w="5664" w:type="dxa"/>
          </w:tcPr>
          <w:p w:rsidR="007002F9" w:rsidRPr="007A22E8" w:rsidRDefault="007002F9" w:rsidP="007002F9">
            <w:pPr>
              <w:jc w:val="both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3367" w:type="dxa"/>
          </w:tcPr>
          <w:p w:rsidR="007002F9" w:rsidRDefault="00120600" w:rsidP="00120600">
            <w:pPr>
              <w:jc w:val="center"/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</w:tbl>
    <w:p w:rsidR="00120600" w:rsidRPr="00120600" w:rsidRDefault="00120600" w:rsidP="00120600">
      <w:p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b/>
          <w:highlight w:val="lightGray"/>
          <w:lang w:val="x-none" w:eastAsia="x-none"/>
        </w:rPr>
        <w:t>Примечание</w:t>
      </w:r>
      <w:r w:rsidRPr="00120600">
        <w:rPr>
          <w:highlight w:val="lightGray"/>
          <w:lang w:val="x-none" w:eastAsia="x-none"/>
        </w:rPr>
        <w:t>:</w:t>
      </w:r>
    </w:p>
    <w:p w:rsidR="00120600" w:rsidRPr="00120600" w:rsidRDefault="00120600" w:rsidP="00120600">
      <w:pPr>
        <w:numPr>
          <w:ilvl w:val="0"/>
          <w:numId w:val="2"/>
        </w:numPr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highlight w:val="lightGray"/>
          <w:lang w:val="x-none" w:eastAsia="x-none"/>
        </w:rPr>
        <w:t xml:space="preserve">При наличии нескольких нарушений снижение стоимости производится по сумме </w:t>
      </w:r>
    </w:p>
    <w:p w:rsidR="00120600" w:rsidRPr="00120600" w:rsidRDefault="00120600" w:rsidP="00120600">
      <w:p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highlight w:val="lightGray"/>
          <w:lang w:val="x-none" w:eastAsia="x-none"/>
        </w:rPr>
        <w:t>нарушений и если эта сумма превышает 30% от стоимости ремонта, то снижение производится:</w:t>
      </w:r>
    </w:p>
    <w:p w:rsidR="00120600" w:rsidRPr="00120600" w:rsidRDefault="00120600" w:rsidP="00120600">
      <w:p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highlight w:val="lightGray"/>
          <w:lang w:val="x-none" w:eastAsia="x-none"/>
        </w:rPr>
        <w:t>А) не более 30% от общей стоимости ремонта, при условии отстранения от работы на объектах О</w:t>
      </w:r>
      <w:r w:rsidRPr="00120600">
        <w:rPr>
          <w:highlight w:val="lightGray"/>
          <w:lang w:eastAsia="x-none"/>
        </w:rPr>
        <w:t>А</w:t>
      </w:r>
      <w:r w:rsidRPr="00120600">
        <w:rPr>
          <w:highlight w:val="lightGray"/>
          <w:lang w:val="x-none" w:eastAsia="x-none"/>
        </w:rPr>
        <w:t>О «</w:t>
      </w:r>
      <w:r w:rsidRPr="00120600">
        <w:rPr>
          <w:highlight w:val="lightGray"/>
          <w:lang w:eastAsia="x-none"/>
        </w:rPr>
        <w:t>СН-МНГ</w:t>
      </w:r>
      <w:r w:rsidRPr="00120600">
        <w:rPr>
          <w:highlight w:val="lightGray"/>
          <w:lang w:val="x-none" w:eastAsia="x-none"/>
        </w:rPr>
        <w:t xml:space="preserve">» работников </w:t>
      </w:r>
      <w:r w:rsidR="006F49E2">
        <w:rPr>
          <w:highlight w:val="lightGray"/>
          <w:lang w:eastAsia="x-none"/>
        </w:rPr>
        <w:t>Подрядчика</w:t>
      </w:r>
      <w:r w:rsidRPr="00120600">
        <w:rPr>
          <w:highlight w:val="lightGray"/>
          <w:lang w:val="x-none" w:eastAsia="x-none"/>
        </w:rPr>
        <w:t xml:space="preserve"> (включая ИТР), ответственных в допущенных нарушениях;</w:t>
      </w:r>
    </w:p>
    <w:p w:rsidR="00120600" w:rsidRPr="00120600" w:rsidRDefault="00120600" w:rsidP="00120600">
      <w:p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highlight w:val="lightGray"/>
          <w:lang w:val="x-none" w:eastAsia="x-none"/>
        </w:rPr>
        <w:t xml:space="preserve">Б) без ограничения (вплоть до 100%) если работники </w:t>
      </w:r>
      <w:r w:rsidR="006F49E2">
        <w:rPr>
          <w:highlight w:val="lightGray"/>
          <w:lang w:eastAsia="x-none"/>
        </w:rPr>
        <w:t>Подрядчика</w:t>
      </w:r>
      <w:r w:rsidRPr="00120600">
        <w:rPr>
          <w:highlight w:val="lightGray"/>
          <w:lang w:val="x-none" w:eastAsia="x-none"/>
        </w:rPr>
        <w:t xml:space="preserve"> продолжают работу на объектах </w:t>
      </w:r>
      <w:r w:rsidRPr="00120600">
        <w:rPr>
          <w:highlight w:val="lightGray"/>
          <w:lang w:eastAsia="x-none"/>
        </w:rPr>
        <w:t>ОАО «СН-МНГ»</w:t>
      </w:r>
      <w:r w:rsidRPr="00120600">
        <w:rPr>
          <w:highlight w:val="lightGray"/>
          <w:lang w:val="x-none" w:eastAsia="x-none"/>
        </w:rPr>
        <w:t xml:space="preserve">. </w:t>
      </w:r>
    </w:p>
    <w:p w:rsidR="00120600" w:rsidRPr="00120600" w:rsidRDefault="00120600" w:rsidP="00120600">
      <w:pPr>
        <w:spacing w:after="120"/>
        <w:ind w:right="-141" w:firstLine="709"/>
        <w:jc w:val="both"/>
        <w:rPr>
          <w:highlight w:val="lightGray"/>
          <w:lang w:val="x-none" w:eastAsia="x-none"/>
        </w:rPr>
      </w:pPr>
      <w:r w:rsidRPr="00120600">
        <w:rPr>
          <w:highlight w:val="lightGray"/>
          <w:lang w:val="x-none" w:eastAsia="x-none"/>
        </w:rPr>
        <w:t xml:space="preserve">     2. Не могут применяться несколько снижений стоимости за одно и то же нарушение.</w:t>
      </w:r>
    </w:p>
    <w:p w:rsidR="00120600" w:rsidRPr="00120600" w:rsidRDefault="00120600" w:rsidP="00120600">
      <w:pPr>
        <w:spacing w:after="120"/>
        <w:ind w:right="-141" w:firstLine="709"/>
        <w:jc w:val="both"/>
        <w:rPr>
          <w:lang w:val="x-none" w:eastAsia="x-none"/>
        </w:rPr>
      </w:pPr>
      <w:r w:rsidRPr="00120600">
        <w:rPr>
          <w:highlight w:val="lightGray"/>
          <w:lang w:val="x-none" w:eastAsia="x-none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120600" w:rsidRPr="00120600" w:rsidRDefault="00120600" w:rsidP="00120600">
      <w:pPr>
        <w:ind w:right="-141" w:firstLine="709"/>
      </w:pPr>
    </w:p>
    <w:p w:rsidR="00120600" w:rsidRPr="00120600" w:rsidRDefault="00120600" w:rsidP="00120600">
      <w:pPr>
        <w:ind w:right="-141" w:firstLine="709"/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120600">
              <w:rPr>
                <w:b/>
              </w:rPr>
              <w:t>Заказчик: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120600">
              <w:rPr>
                <w:b/>
              </w:rPr>
              <w:t>Подрядчик:</w:t>
            </w:r>
          </w:p>
        </w:tc>
      </w:tr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120600">
              <w:rPr>
                <w:b/>
              </w:rPr>
              <w:t>ОАО «СН-МНГ»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120600">
              <w:rPr>
                <w:i/>
              </w:rPr>
              <w:t xml:space="preserve">               (наименование)</w:t>
            </w:r>
          </w:p>
        </w:tc>
      </w:tr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120600">
              <w:rPr>
                <w:i/>
              </w:rPr>
              <w:t>(должность)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120600">
              <w:rPr>
                <w:i/>
              </w:rPr>
              <w:t>(должность)</w:t>
            </w:r>
          </w:p>
        </w:tc>
      </w:tr>
      <w:tr w:rsidR="00120600" w:rsidRPr="00120600" w:rsidTr="005C046D">
        <w:trPr>
          <w:trHeight w:val="182"/>
        </w:trPr>
        <w:tc>
          <w:tcPr>
            <w:tcW w:w="2364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120600">
              <w:rPr>
                <w:b/>
              </w:rPr>
              <w:t>(ФИО)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120600">
              <w:rPr>
                <w:b/>
              </w:rPr>
              <w:t>(ФИО)</w:t>
            </w:r>
          </w:p>
        </w:tc>
      </w:tr>
      <w:tr w:rsidR="00120600" w:rsidRPr="00120600" w:rsidTr="005C046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120600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120600">
              <w:rPr>
                <w:i/>
              </w:rPr>
              <w:t xml:space="preserve">          (подпись)</w:t>
            </w:r>
          </w:p>
        </w:tc>
      </w:tr>
      <w:tr w:rsidR="00120600" w:rsidRPr="00120600" w:rsidTr="005C046D">
        <w:trPr>
          <w:trHeight w:val="180"/>
        </w:trPr>
        <w:tc>
          <w:tcPr>
            <w:tcW w:w="4728" w:type="dxa"/>
            <w:gridSpan w:val="2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120600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120600" w:rsidRPr="00120600" w:rsidRDefault="00120600" w:rsidP="0012060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120600">
              <w:rPr>
                <w:b/>
              </w:rPr>
              <w:t xml:space="preserve">            М.П.</w:t>
            </w:r>
          </w:p>
        </w:tc>
      </w:tr>
    </w:tbl>
    <w:p w:rsidR="00120600" w:rsidRPr="00120600" w:rsidRDefault="00120600" w:rsidP="00120600">
      <w:pPr>
        <w:ind w:right="-141" w:firstLine="709"/>
      </w:pPr>
    </w:p>
    <w:p w:rsidR="006C54B9" w:rsidRPr="00F35E49" w:rsidRDefault="006C54B9" w:rsidP="00F35E49"/>
    <w:sectPr w:rsidR="006C54B9" w:rsidRPr="00F35E49" w:rsidSect="003939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EC" w:rsidRDefault="00AE52EC" w:rsidP="00AE52EC">
      <w:r>
        <w:separator/>
      </w:r>
    </w:p>
  </w:endnote>
  <w:endnote w:type="continuationSeparator" w:id="0">
    <w:p w:rsidR="00AE52EC" w:rsidRDefault="00AE52EC" w:rsidP="00AE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EC" w:rsidRDefault="00AE52EC" w:rsidP="00AE52EC">
      <w:r>
        <w:separator/>
      </w:r>
    </w:p>
  </w:footnote>
  <w:footnote w:type="continuationSeparator" w:id="0">
    <w:p w:rsidR="00AE52EC" w:rsidRDefault="00AE52EC" w:rsidP="00AE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F7"/>
    <w:rsid w:val="00073E5C"/>
    <w:rsid w:val="00120600"/>
    <w:rsid w:val="0031128B"/>
    <w:rsid w:val="00393956"/>
    <w:rsid w:val="006C54B9"/>
    <w:rsid w:val="006F49E2"/>
    <w:rsid w:val="007002F9"/>
    <w:rsid w:val="0079749A"/>
    <w:rsid w:val="00AE52EC"/>
    <w:rsid w:val="00C515F7"/>
    <w:rsid w:val="00F3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52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2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52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2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D2844-2894-4C3C-8928-CC598D00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Владимирович Максимов</dc:creator>
  <cp:keywords/>
  <dc:description/>
  <cp:lastModifiedBy>Сергей Владимирович Максимов</cp:lastModifiedBy>
  <cp:revision>8</cp:revision>
  <dcterms:created xsi:type="dcterms:W3CDTF">2015-08-01T04:50:00Z</dcterms:created>
  <dcterms:modified xsi:type="dcterms:W3CDTF">2015-08-24T04:53:00Z</dcterms:modified>
</cp:coreProperties>
</file>