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Форма-</w:t>
      </w:r>
      <w:r w:rsidR="00B44DDA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6</w:t>
      </w: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376B8C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 скв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ажин №1</w:t>
      </w:r>
      <w:r w:rsidR="00D6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proofErr w:type="spellStart"/>
      <w:r w:rsidR="00D6057F" w:rsidRPr="00D6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Нефтегазопровод</w:t>
      </w:r>
      <w:proofErr w:type="spellEnd"/>
      <w:r w:rsidR="00D6057F" w:rsidRPr="00D6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к. 184 - </w:t>
      </w:r>
      <w:proofErr w:type="spellStart"/>
      <w:r w:rsidR="00D6057F" w:rsidRPr="00D6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т.вр</w:t>
      </w:r>
      <w:proofErr w:type="spellEnd"/>
      <w:r w:rsidR="00D6057F" w:rsidRPr="00D60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 н/сб. с к. 105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b/>
          <w:lang w:eastAsia="ru-RU"/>
        </w:rPr>
        <w:t>Мегион</w:t>
      </w:r>
      <w:proofErr w:type="spell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>Доверенности № 650 от 25.10.2013г.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proofErr w:type="gramStart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ажин №184; </w:t>
      </w:r>
      <w:proofErr w:type="spellStart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Нефтегазопровод</w:t>
      </w:r>
      <w:proofErr w:type="spellEnd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184 - </w:t>
      </w:r>
      <w:proofErr w:type="spellStart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т.вр</w:t>
      </w:r>
      <w:proofErr w:type="spellEnd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н/сб. с к. 105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«Стройк</w:t>
      </w:r>
      <w:r w:rsidR="00376B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а» </w:t>
      </w:r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Аганского</w:t>
      </w:r>
      <w:proofErr w:type="spellEnd"/>
      <w:r w:rsidR="00D6057F" w:rsidRP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</w:t>
      </w:r>
      <w:r w:rsid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ждения нефти. Ку</w:t>
      </w:r>
      <w:proofErr w:type="gramStart"/>
      <w:r w:rsid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D6057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№184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экспертно</w:t>
      </w:r>
      <w:proofErr w:type="spellEnd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  <w:proofErr w:type="gramEnd"/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6.1.3. В течение 10 (десяти) дней со дня получения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от Заказчика,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6.1.4. В течение 3 (трех) рабочих дней с даты подписания Договора,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эксплутационной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6.1.23.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6.1.28.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6.1.29. Разработать и предоставить при необходимости ППР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ц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перед началом рабочей смены водителей транспортных средств,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Рассмотреть в течение 10 (десяти) дней замечания Подрядчика по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Оформить до начала работ разрешение на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госэкспертизы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6.2.11. Осуществить координацию строительства,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7" w:name="_Toc149127769"/>
      <w:bookmarkStart w:id="8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7"/>
      <w:bookmarkEnd w:id="8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9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7.7. </w:t>
      </w:r>
      <w:proofErr w:type="gramStart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срока Подря</w:t>
      </w:r>
      <w:bookmarkStart w:id="10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proofErr w:type="gramEnd"/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этом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12.3. Подрядчик несет полную ответственность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Работ по Договору в соответствии с действующими в Российской Федерации</w:t>
      </w:r>
      <w:proofErr w:type="gramEnd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12.18. В случае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12.21.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12.26.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</w:t>
      </w:r>
      <w:proofErr w:type="gramEnd"/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000 (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пят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ь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десят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7F56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пятьдесят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тысяч)</w:t>
      </w:r>
      <w:r w:rsidRPr="0070043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12.43.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12.52. Подрядчик несет ответственность за использованные и установленные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12.59. В случае обнаружения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уполномоченных государственных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  Заказчик вправе в любое время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>Изложенное</w:t>
      </w:r>
      <w:proofErr w:type="gramEnd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</w:t>
      </w:r>
      <w:r w:rsidR="006D77E1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3</w:t>
      </w:r>
      <w:r w:rsidR="00D605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0</w:t>
      </w:r>
      <w:bookmarkStart w:id="11" w:name="_GoBack"/>
      <w:bookmarkEnd w:id="11"/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» </w:t>
      </w:r>
      <w:r w:rsidR="00D6057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сентября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20</w:t>
      </w:r>
      <w:r w:rsidR="006D77E1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16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Славнефть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осква</w:t>
            </w:r>
            <w:proofErr w:type="spell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(Директор по капитальному строительству</w:t>
            </w:r>
            <w:proofErr w:type="gram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70CD6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376B8C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376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B8C" w:rsidRPr="006115F0">
              <w:rPr>
                <w:rStyle w:val="itemtext1"/>
                <w:rFonts w:ascii="Times New Roman" w:hAnsi="Times New Roman" w:cs="Times New Roman"/>
                <w:sz w:val="24"/>
                <w:szCs w:val="24"/>
              </w:rPr>
              <w:t xml:space="preserve"> с внесенными изменениями </w:t>
            </w:r>
            <w:proofErr w:type="gramStart"/>
            <w:r w:rsidR="00376B8C" w:rsidRPr="006115F0">
              <w:rPr>
                <w:rStyle w:val="itemtext1"/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="00376B8C" w:rsidRPr="006115F0">
              <w:rPr>
                <w:rStyle w:val="itemtext1"/>
                <w:rFonts w:ascii="Times New Roman" w:hAnsi="Times New Roman" w:cs="Times New Roman"/>
                <w:sz w:val="24"/>
                <w:szCs w:val="24"/>
              </w:rPr>
              <w:t xml:space="preserve"> №487 от 17.06.2015г.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</w:t>
            </w:r>
            <w:proofErr w:type="spellStart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Славнефть</w:t>
            </w:r>
            <w:proofErr w:type="spellEnd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="00B2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B23E43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1 к Процедуре «</w:t>
            </w:r>
            <w:r w:rsidRPr="00B2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употребления алкоголя, наркотических и токсических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B103E" w:rsidRPr="00CA57BB" w:rsidTr="007F560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103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23E43" w:rsidRPr="00CA57BB" w:rsidTr="00936E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3E43" w:rsidRPr="00CA57BB" w:rsidRDefault="00B23E43" w:rsidP="00B23E4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10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3E43" w:rsidRPr="00CA57BB" w:rsidRDefault="00B23E43" w:rsidP="00936E9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установлению Жизненно важных правил безопасного ведения работ СТО021-2014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3E43" w:rsidRPr="00CA57BB" w:rsidRDefault="00B23E43" w:rsidP="00936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B23E43" w:rsidRPr="00B23E43" w:rsidRDefault="00B23E43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A57BB" w:rsidRPr="00CA57BB" w:rsidRDefault="00CA57BB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по капитальному строительству                                     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 w:rsidP="00376B8C"/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CD6" w:rsidRDefault="00C70CD6">
      <w:pPr>
        <w:spacing w:after="0" w:line="240" w:lineRule="auto"/>
      </w:pPr>
      <w:r>
        <w:separator/>
      </w:r>
    </w:p>
  </w:endnote>
  <w:endnote w:type="continuationSeparator" w:id="0">
    <w:p w:rsidR="00C70CD6" w:rsidRDefault="00C70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5604" w:rsidRDefault="007F560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6057F">
      <w:rPr>
        <w:rStyle w:val="ae"/>
        <w:noProof/>
      </w:rPr>
      <w:t>37</w:t>
    </w:r>
    <w:r>
      <w:rPr>
        <w:rStyle w:val="ae"/>
      </w:rPr>
      <w:fldChar w:fldCharType="end"/>
    </w:r>
  </w:p>
  <w:p w:rsidR="007F5604" w:rsidRDefault="007F5604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CD6" w:rsidRDefault="00C70CD6">
      <w:pPr>
        <w:spacing w:after="0" w:line="240" w:lineRule="auto"/>
      </w:pPr>
      <w:r>
        <w:separator/>
      </w:r>
    </w:p>
  </w:footnote>
  <w:footnote w:type="continuationSeparator" w:id="0">
    <w:p w:rsidR="00C70CD6" w:rsidRDefault="00C70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B1DC6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354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56390"/>
    <w:rsid w:val="003614D7"/>
    <w:rsid w:val="00364649"/>
    <w:rsid w:val="00364CD1"/>
    <w:rsid w:val="00373D34"/>
    <w:rsid w:val="00376B8C"/>
    <w:rsid w:val="003912BF"/>
    <w:rsid w:val="0039187A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37C67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4141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01401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71B9"/>
    <w:rsid w:val="006D05DF"/>
    <w:rsid w:val="006D1FFE"/>
    <w:rsid w:val="006D5DDC"/>
    <w:rsid w:val="006D77E1"/>
    <w:rsid w:val="006E0454"/>
    <w:rsid w:val="006E0EBA"/>
    <w:rsid w:val="006E0F35"/>
    <w:rsid w:val="006E2C7D"/>
    <w:rsid w:val="006E2D04"/>
    <w:rsid w:val="006E329E"/>
    <w:rsid w:val="0070043B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04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3E43"/>
    <w:rsid w:val="00B27520"/>
    <w:rsid w:val="00B27AE7"/>
    <w:rsid w:val="00B31FA5"/>
    <w:rsid w:val="00B33300"/>
    <w:rsid w:val="00B340CD"/>
    <w:rsid w:val="00B426DF"/>
    <w:rsid w:val="00B44DDA"/>
    <w:rsid w:val="00B5279F"/>
    <w:rsid w:val="00B53FD9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6B2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70CD6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2C40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057F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2EBB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  <w:style w:type="character" w:customStyle="1" w:styleId="itemtext1">
    <w:name w:val="itemtext1"/>
    <w:basedOn w:val="a3"/>
    <w:rsid w:val="00376B8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  <w:style w:type="character" w:customStyle="1" w:styleId="itemtext1">
    <w:name w:val="itemtext1"/>
    <w:basedOn w:val="a3"/>
    <w:rsid w:val="00376B8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41</Pages>
  <Words>18916</Words>
  <Characters>107822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Инна Александровна Ваструкова</cp:lastModifiedBy>
  <cp:revision>17</cp:revision>
  <cp:lastPrinted>2015-05-21T04:55:00Z</cp:lastPrinted>
  <dcterms:created xsi:type="dcterms:W3CDTF">2014-10-08T07:11:00Z</dcterms:created>
  <dcterms:modified xsi:type="dcterms:W3CDTF">2015-07-03T05:56:00Z</dcterms:modified>
</cp:coreProperties>
</file>