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72FA2" w:rsidRPr="00070E41" w:rsidTr="00972FA2">
        <w:tc>
          <w:tcPr>
            <w:tcW w:w="5637" w:type="dxa"/>
          </w:tcPr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2FA2" w:rsidRPr="00070E41" w:rsidRDefault="00376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Приложение № 15</w:t>
            </w:r>
          </w:p>
          <w:p w:rsidR="00972FA2" w:rsidRPr="00070E41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К Договору №______</w:t>
            </w:r>
          </w:p>
          <w:p w:rsidR="00972FA2" w:rsidRPr="00070E41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От «___» ______________ 20__ г.</w:t>
            </w:r>
          </w:p>
        </w:tc>
      </w:tr>
    </w:tbl>
    <w:p w:rsidR="00934168" w:rsidRPr="00070E41" w:rsidRDefault="00934168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A2" w:rsidRPr="00070E41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070E41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DF744A" w:rsidRPr="00070E41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070E41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E41">
        <w:rPr>
          <w:rFonts w:ascii="Times New Roman" w:hAnsi="Times New Roman" w:cs="Times New Roman"/>
          <w:sz w:val="24"/>
          <w:szCs w:val="24"/>
        </w:rPr>
        <w:t>Открытое акционерное общество «</w:t>
      </w:r>
      <w:proofErr w:type="spellStart"/>
      <w:r w:rsidRPr="00070E41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070E41">
        <w:rPr>
          <w:rFonts w:ascii="Times New Roman" w:hAnsi="Times New Roman" w:cs="Times New Roman"/>
          <w:sz w:val="24"/>
          <w:szCs w:val="24"/>
        </w:rPr>
        <w:t xml:space="preserve">-Мегионнефтегаз», именуемое в дальнейшем «Заказчик», в лице </w:t>
      </w:r>
      <w:r w:rsidR="00A43940" w:rsidRPr="00070E41">
        <w:rPr>
          <w:rFonts w:ascii="Times New Roman" w:hAnsi="Times New Roman" w:cs="Times New Roman"/>
          <w:sz w:val="24"/>
          <w:szCs w:val="24"/>
        </w:rPr>
        <w:t>_______________________</w:t>
      </w:r>
      <w:r w:rsidRPr="00070E41">
        <w:rPr>
          <w:rFonts w:ascii="Times New Roman" w:hAnsi="Times New Roman" w:cs="Times New Roman"/>
          <w:sz w:val="24"/>
          <w:szCs w:val="24"/>
        </w:rPr>
        <w:t xml:space="preserve"> ____________________________________ действующего на основании </w:t>
      </w:r>
      <w:r w:rsidR="00A43940" w:rsidRPr="00070E41">
        <w:rPr>
          <w:rFonts w:ascii="Times New Roman" w:hAnsi="Times New Roman" w:cs="Times New Roman"/>
          <w:sz w:val="24"/>
          <w:szCs w:val="24"/>
        </w:rPr>
        <w:t>________</w:t>
      </w:r>
      <w:r w:rsidRPr="00070E41">
        <w:rPr>
          <w:rFonts w:ascii="Times New Roman" w:hAnsi="Times New Roman" w:cs="Times New Roman"/>
          <w:sz w:val="24"/>
          <w:szCs w:val="24"/>
        </w:rPr>
        <w:t xml:space="preserve">, с одной стороны и  ___________________________________________, именуемое в дальнейшем «Подрядчик», в лице __________________________________, действующего на основании </w:t>
      </w:r>
      <w:r w:rsidR="00A43940" w:rsidRPr="00070E41">
        <w:rPr>
          <w:rFonts w:ascii="Times New Roman" w:hAnsi="Times New Roman" w:cs="Times New Roman"/>
          <w:sz w:val="24"/>
          <w:szCs w:val="24"/>
        </w:rPr>
        <w:t>___________</w:t>
      </w:r>
      <w:r w:rsidRPr="00070E41">
        <w:rPr>
          <w:rFonts w:ascii="Times New Roman" w:hAnsi="Times New Roman" w:cs="Times New Roman"/>
          <w:sz w:val="24"/>
          <w:szCs w:val="24"/>
        </w:rPr>
        <w:t>с другой стороны, далее по тексту совместно именуемые «Стороны» и «Сторона», достигли соглашения о нижеследующем:</w:t>
      </w:r>
    </w:p>
    <w:p w:rsidR="00217A60" w:rsidRPr="00070E41" w:rsidRDefault="00217A60" w:rsidP="00217A60">
      <w:pPr>
        <w:pStyle w:val="a4"/>
        <w:widowControl w:val="0"/>
        <w:numPr>
          <w:ilvl w:val="0"/>
          <w:numId w:val="8"/>
        </w:numPr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Сервисная ставка КРС (Стоимость </w:t>
      </w:r>
      <w:proofErr w:type="spellStart"/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бригадо</w:t>
      </w:r>
      <w:proofErr w:type="spellEnd"/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-часа КРС).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КРС представляет собой почасовую ставку, выплачиваемую за надлежащее выполнение работ по капитальному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выполнения бригадой КРС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нормативного времени  ремонта над производительным календарным временем ремонта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КРС не применяется во время ожидания и остановки работ по любым причинам. В частности, Сервисная ставка КРС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Сервисной ставки КРС, входят: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Ремонтно-изоляционные работы </w:t>
      </w:r>
      <w:r w:rsidR="00B2593E"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кроме </w:t>
      </w:r>
      <w:proofErr w:type="gramStart"/>
      <w:r w:rsidR="00B2593E"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высокотехнологичных</w:t>
      </w:r>
      <w:proofErr w:type="gramEnd"/>
      <w:r w:rsidR="00045BE2"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Операции по закачке кислоты</w:t>
      </w:r>
      <w:r w:rsidR="00045BE2"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 том числе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:</w:t>
      </w:r>
    </w:p>
    <w:p w:rsidR="00217A60" w:rsidRPr="00070E41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Установка кислотной ванны;</w:t>
      </w:r>
    </w:p>
    <w:p w:rsidR="00217A60" w:rsidRPr="00070E41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Кислотная обработка для увеличения приемистости нагнетательной скважины;</w:t>
      </w:r>
    </w:p>
    <w:p w:rsidR="00217A60" w:rsidRPr="00070E41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Кислотная обработка для увеличения приемистости при ремонтно-изоляционных работах;</w:t>
      </w:r>
    </w:p>
    <w:p w:rsidR="00217A60" w:rsidRPr="00070E41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Динамическая кислотная ванна при устранении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солеотложений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217A60" w:rsidRPr="00070E41" w:rsidRDefault="00217A60" w:rsidP="00217A6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Затраты на утилизацию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нефтешлама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(отходы производства работ).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обустройство базы (производственного участка), проживание;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Арендные платежи;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Прочие расходы (Затраты на утилизацию отходов производства, ГСМ, ПБ и ООС, природоохранные мероприятия и т.д.).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217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A60" w:rsidRPr="00070E41" w:rsidRDefault="00217A60" w:rsidP="00217A6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Сервисная ставка ТРС (Стоимость </w:t>
      </w:r>
      <w:proofErr w:type="spellStart"/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бригадо</w:t>
      </w:r>
      <w:proofErr w:type="spellEnd"/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-часа ТРС).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ТРС представляет собой почасовую ставку, выплачиваемую за надлежащее выполнение работ по текущему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выполнения бригадой ТРС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нормативного времени ремонта над производительным календарным временем ремонта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ТРС не применяется во время ожидания и остановки работ по любым причинам. В частности, Сервисная ставка ТРС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Сервисной ставки ТРС, входят: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ТРС для проведения работ;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услуги технологического транспорта и спец. техники (ЦА-320, ППУ, и т.п.), необходимой для проведения технологических операций при ТРС;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ТРС;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обустройство базы (производственного участка), проживание;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Арендные платежи;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5D6E20" w:rsidRPr="00070E41" w:rsidRDefault="005D6E20" w:rsidP="005D6E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Затраты на утилизацию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нефтешлама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(отходы производства работ);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Прочие расходы (Затраты на утилизацию отходов производства, ГСМ, ПБ и ООС, природоохранные мероприятия и т.д.).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BC6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A60" w:rsidRPr="00070E41" w:rsidRDefault="00217A60" w:rsidP="00217A60">
      <w:pPr>
        <w:pStyle w:val="a4"/>
        <w:widowControl w:val="0"/>
        <w:numPr>
          <w:ilvl w:val="0"/>
          <w:numId w:val="8"/>
        </w:numPr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Сервисная ставка (Стоимость </w:t>
      </w:r>
      <w:proofErr w:type="spellStart"/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бригадо</w:t>
      </w:r>
      <w:proofErr w:type="spellEnd"/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-часа) освоения скважин после бурения.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освоения скважин представляет собой почасовую ставку, выплачиваемую за надлежащее выполнение работ по капитальному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выполнения бригадой освоения скважин 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нормативного времени  ремонта над производительным календарным временем ремонта,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ставка освоения не применяется во время ожидания и остановки работ по любым причинам. В частности, Сервисная ставка освоения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070E41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Сервисной ставки освоения, входят:</w:t>
      </w:r>
    </w:p>
    <w:p w:rsidR="00374D06" w:rsidRPr="00070E41" w:rsidRDefault="00374D06" w:rsidP="00374D0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Ремонтно-изоляционные работы кроме </w:t>
      </w:r>
      <w:proofErr w:type="gram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высокотехнологичных</w:t>
      </w:r>
      <w:proofErr w:type="gram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374D06" w:rsidRPr="00070E41" w:rsidRDefault="00374D06" w:rsidP="00374D0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Операции по закачке кислоты в том числе:</w:t>
      </w:r>
    </w:p>
    <w:p w:rsidR="00374D06" w:rsidRPr="00070E41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Установка кислотной ванны;</w:t>
      </w:r>
    </w:p>
    <w:p w:rsidR="00374D06" w:rsidRPr="00070E41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Кислотная обработка для увеличения приемистости нагнетательной скважины;</w:t>
      </w:r>
    </w:p>
    <w:p w:rsidR="00374D06" w:rsidRPr="00070E41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Кислотная обработка для увеличения приемистости при ремонтно-изоляционных работах;</w:t>
      </w:r>
    </w:p>
    <w:p w:rsidR="00374D06" w:rsidRPr="00070E41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Динамическая кислотная ванна при устранении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солеотложений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217A60" w:rsidRPr="00070E41" w:rsidRDefault="00217A60" w:rsidP="00217A60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Динамическая кислотная ванна при устранении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солеотложений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217A60" w:rsidRPr="00070E41" w:rsidRDefault="00217A60" w:rsidP="00217A60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Затраты на утилизацию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нефтешлама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(отходы производства работ).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Затраты на обустройство базы (производственного участка), проживание;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Арендные платежи;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5D6E20" w:rsidRPr="00070E41" w:rsidRDefault="005D6E20" w:rsidP="005D6E2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Затраты на утилизацию </w:t>
      </w:r>
      <w:proofErr w:type="spellStart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нефтешлама</w:t>
      </w:r>
      <w:proofErr w:type="spellEnd"/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(отходы производства работ);</w:t>
      </w:r>
    </w:p>
    <w:p w:rsidR="00217A60" w:rsidRPr="00070E41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Прочие расходы (Затраты на утилизацию отходов производства, ГСМ, ПБ и ООС, природоохранные мероприятия и т.д.).</w:t>
      </w:r>
      <w:r w:rsidRPr="00070E41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217A60" w:rsidRPr="00070E41" w:rsidRDefault="00217A60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A60" w:rsidRPr="00070E41" w:rsidRDefault="00217A60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2FA2" w:rsidRPr="00070E41" w:rsidRDefault="00972FA2" w:rsidP="00972FA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СТАВКИ</w:t>
      </w:r>
    </w:p>
    <w:p w:rsidR="00C91AA8" w:rsidRPr="00070E41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Таблица №1. Сервисная ставка КРС, ТРС и Освоения скважин после бурения</w:t>
      </w:r>
      <w:r w:rsidR="001213E3" w:rsidRPr="00070E41">
        <w:rPr>
          <w:rFonts w:ascii="Times New Roman" w:hAnsi="Times New Roman" w:cs="Times New Roman"/>
          <w:b/>
          <w:sz w:val="24"/>
          <w:szCs w:val="24"/>
        </w:rPr>
        <w:t>, ставка ожидания/простоя, ставка ожидания по метеоусловиям, ставка аренда оборудования.</w:t>
      </w:r>
    </w:p>
    <w:p w:rsidR="00E964C6" w:rsidRPr="00070E41" w:rsidRDefault="00E964C6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На 201_г.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330"/>
        <w:gridCol w:w="1891"/>
        <w:gridCol w:w="1946"/>
        <w:gridCol w:w="1783"/>
        <w:gridCol w:w="1584"/>
      </w:tblGrid>
      <w:tr w:rsidR="00E964C6" w:rsidRPr="00070E41" w:rsidTr="0093416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045BE2" w:rsidRPr="00070E41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070E41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070E41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330" w:type="dxa"/>
            <w:shd w:val="clear" w:color="auto" w:fill="F2F2F2" w:themeFill="background1" w:themeFillShade="F2"/>
            <w:vAlign w:val="center"/>
          </w:tcPr>
          <w:p w:rsidR="00045BE2" w:rsidRPr="00070E41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255" w:type="dxa"/>
            <w:shd w:val="clear" w:color="auto" w:fill="F2F2F2" w:themeFill="background1" w:themeFillShade="F2"/>
            <w:vAlign w:val="center"/>
          </w:tcPr>
          <w:p w:rsidR="00045BE2" w:rsidRPr="00070E41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Ставка</w:t>
            </w:r>
            <w:r w:rsidR="00E964C6" w:rsidRPr="00070E41">
              <w:rPr>
                <w:rFonts w:ascii="Times New Roman" w:hAnsi="Times New Roman" w:cs="Times New Roman"/>
                <w:szCs w:val="24"/>
              </w:rPr>
              <w:t xml:space="preserve">/стоимость </w:t>
            </w:r>
            <w:proofErr w:type="spellStart"/>
            <w:r w:rsidR="00261A25" w:rsidRPr="00070E41">
              <w:rPr>
                <w:rFonts w:ascii="Times New Roman" w:hAnsi="Times New Roman" w:cs="Times New Roman"/>
                <w:szCs w:val="24"/>
              </w:rPr>
              <w:t>бригад</w:t>
            </w:r>
            <w:r w:rsidR="006F3959" w:rsidRPr="00070E41">
              <w:rPr>
                <w:rFonts w:ascii="Times New Roman" w:hAnsi="Times New Roman" w:cs="Times New Roman"/>
                <w:szCs w:val="24"/>
              </w:rPr>
              <w:t>о</w:t>
            </w:r>
            <w:proofErr w:type="spellEnd"/>
            <w:r w:rsidR="00E964C6" w:rsidRPr="00070E41">
              <w:rPr>
                <w:rFonts w:ascii="Times New Roman" w:hAnsi="Times New Roman" w:cs="Times New Roman"/>
                <w:szCs w:val="24"/>
              </w:rPr>
              <w:t>-</w:t>
            </w:r>
            <w:r w:rsidR="00261A25" w:rsidRPr="00070E41">
              <w:rPr>
                <w:rFonts w:ascii="Times New Roman" w:hAnsi="Times New Roman" w:cs="Times New Roman"/>
                <w:szCs w:val="24"/>
              </w:rPr>
              <w:t>часа</w:t>
            </w:r>
            <w:r w:rsidRPr="00070E41">
              <w:rPr>
                <w:rFonts w:ascii="Times New Roman" w:hAnsi="Times New Roman" w:cs="Times New Roman"/>
                <w:szCs w:val="24"/>
              </w:rPr>
              <w:t>, руб.</w:t>
            </w:r>
            <w:r w:rsidRPr="00070E41">
              <w:t xml:space="preserve"> </w:t>
            </w:r>
            <w:r w:rsidRPr="00070E41">
              <w:rPr>
                <w:rFonts w:ascii="Times New Roman" w:hAnsi="Times New Roman" w:cs="Times New Roman"/>
                <w:szCs w:val="24"/>
              </w:rPr>
              <w:t>без НДС</w:t>
            </w:r>
          </w:p>
          <w:p w:rsidR="00045BE2" w:rsidRPr="00070E41" w:rsidRDefault="00045BE2" w:rsidP="00414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</w:tcPr>
          <w:p w:rsidR="00045BE2" w:rsidRPr="00070E41" w:rsidRDefault="00045BE2" w:rsidP="001213E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Ставка ожидания</w:t>
            </w:r>
            <w:r w:rsidR="00261A25" w:rsidRPr="00070E41">
              <w:rPr>
                <w:rFonts w:ascii="Times New Roman" w:hAnsi="Times New Roman" w:cs="Times New Roman"/>
                <w:szCs w:val="24"/>
              </w:rPr>
              <w:t>/просто</w:t>
            </w:r>
            <w:r w:rsidR="001213E3" w:rsidRPr="00070E41">
              <w:rPr>
                <w:rFonts w:ascii="Times New Roman" w:hAnsi="Times New Roman" w:cs="Times New Roman"/>
                <w:szCs w:val="24"/>
              </w:rPr>
              <w:t xml:space="preserve">я </w:t>
            </w:r>
            <w:r w:rsidRPr="00070E41">
              <w:rPr>
                <w:rFonts w:ascii="Times New Roman" w:hAnsi="Times New Roman" w:cs="Times New Roman"/>
                <w:szCs w:val="24"/>
              </w:rPr>
              <w:t xml:space="preserve"> руб.</w:t>
            </w:r>
            <w:r w:rsidR="00E964C6" w:rsidRPr="00070E41">
              <w:rPr>
                <w:rFonts w:ascii="Times New Roman" w:hAnsi="Times New Roman" w:cs="Times New Roman"/>
                <w:szCs w:val="24"/>
              </w:rPr>
              <w:t>/час</w:t>
            </w:r>
            <w:r w:rsidRPr="00070E41">
              <w:t xml:space="preserve"> </w:t>
            </w:r>
            <w:r w:rsidRPr="00070E41">
              <w:rPr>
                <w:rFonts w:ascii="Times New Roman" w:hAnsi="Times New Roman" w:cs="Times New Roman"/>
                <w:szCs w:val="24"/>
              </w:rPr>
              <w:t>без НДС</w:t>
            </w:r>
          </w:p>
        </w:tc>
        <w:tc>
          <w:tcPr>
            <w:tcW w:w="1783" w:type="dxa"/>
            <w:shd w:val="clear" w:color="auto" w:fill="F2F2F2" w:themeFill="background1" w:themeFillShade="F2"/>
            <w:vAlign w:val="center"/>
          </w:tcPr>
          <w:p w:rsidR="00045BE2" w:rsidRPr="00070E41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Ставка ожидания по метеоусловиям, руб.</w:t>
            </w:r>
            <w:r w:rsidR="00E964C6" w:rsidRPr="00070E41">
              <w:rPr>
                <w:rFonts w:ascii="Times New Roman" w:hAnsi="Times New Roman" w:cs="Times New Roman"/>
                <w:szCs w:val="24"/>
              </w:rPr>
              <w:t>/час</w:t>
            </w:r>
            <w:r w:rsidRPr="00070E41">
              <w:t xml:space="preserve"> </w:t>
            </w:r>
            <w:r w:rsidRPr="00070E41">
              <w:rPr>
                <w:rFonts w:ascii="Times New Roman" w:hAnsi="Times New Roman" w:cs="Times New Roman"/>
                <w:szCs w:val="24"/>
              </w:rPr>
              <w:t>без НДС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:rsidR="00045BE2" w:rsidRPr="00070E41" w:rsidRDefault="00E964C6" w:rsidP="00261A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Ставка аренды оборудования,</w:t>
            </w:r>
            <w:r w:rsidR="00261A25" w:rsidRPr="00070E4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5BE2" w:rsidRPr="00070E41">
              <w:rPr>
                <w:rFonts w:ascii="Times New Roman" w:hAnsi="Times New Roman" w:cs="Times New Roman"/>
                <w:szCs w:val="24"/>
              </w:rPr>
              <w:t>руб.</w:t>
            </w:r>
            <w:r w:rsidRPr="00070E41">
              <w:rPr>
                <w:rFonts w:ascii="Times New Roman" w:hAnsi="Times New Roman" w:cs="Times New Roman"/>
                <w:szCs w:val="24"/>
              </w:rPr>
              <w:t>/сутки</w:t>
            </w:r>
            <w:r w:rsidR="00045BE2" w:rsidRPr="00070E41">
              <w:rPr>
                <w:rFonts w:ascii="Times New Roman" w:hAnsi="Times New Roman" w:cs="Times New Roman"/>
                <w:szCs w:val="24"/>
              </w:rPr>
              <w:t xml:space="preserve"> без НДС</w:t>
            </w:r>
          </w:p>
        </w:tc>
      </w:tr>
      <w:tr w:rsidR="00E964C6" w:rsidRPr="00070E41" w:rsidTr="00934168">
        <w:tc>
          <w:tcPr>
            <w:tcW w:w="562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30" w:type="dxa"/>
          </w:tcPr>
          <w:p w:rsidR="00045BE2" w:rsidRPr="00070E41" w:rsidRDefault="00045BE2" w:rsidP="00E964C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Левобережная  группа месторождений</w:t>
            </w:r>
          </w:p>
        </w:tc>
        <w:tc>
          <w:tcPr>
            <w:tcW w:w="1255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3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4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4C6" w:rsidRPr="00070E41" w:rsidTr="00934168">
        <w:tc>
          <w:tcPr>
            <w:tcW w:w="562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330" w:type="dxa"/>
          </w:tcPr>
          <w:p w:rsidR="00045BE2" w:rsidRPr="00070E41" w:rsidRDefault="00E964C6" w:rsidP="00E964C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070E41">
              <w:rPr>
                <w:rFonts w:ascii="Times New Roman" w:hAnsi="Times New Roman" w:cs="Times New Roman"/>
                <w:szCs w:val="24"/>
              </w:rPr>
              <w:t>Правобережная</w:t>
            </w:r>
            <w:proofErr w:type="gramEnd"/>
            <w:r w:rsidRPr="00070E4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5BE2" w:rsidRPr="00070E41">
              <w:rPr>
                <w:rFonts w:ascii="Times New Roman" w:hAnsi="Times New Roman" w:cs="Times New Roman"/>
                <w:szCs w:val="24"/>
              </w:rPr>
              <w:t>группе месторождений</w:t>
            </w:r>
          </w:p>
        </w:tc>
        <w:tc>
          <w:tcPr>
            <w:tcW w:w="1255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3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4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4C6" w:rsidRPr="00070E41" w:rsidTr="00934168">
        <w:tc>
          <w:tcPr>
            <w:tcW w:w="562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330" w:type="dxa"/>
          </w:tcPr>
          <w:p w:rsidR="00045BE2" w:rsidRPr="00070E41" w:rsidRDefault="00E964C6" w:rsidP="00E964C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70E41">
              <w:rPr>
                <w:rFonts w:ascii="Times New Roman" w:hAnsi="Times New Roman" w:cs="Times New Roman"/>
                <w:szCs w:val="24"/>
              </w:rPr>
              <w:t>Тайлаковский</w:t>
            </w:r>
            <w:proofErr w:type="spellEnd"/>
            <w:r w:rsidRPr="00070E41">
              <w:rPr>
                <w:rFonts w:ascii="Times New Roman" w:hAnsi="Times New Roman" w:cs="Times New Roman"/>
                <w:szCs w:val="24"/>
              </w:rPr>
              <w:t xml:space="preserve"> участок</w:t>
            </w:r>
            <w:r w:rsidR="00045BE2" w:rsidRPr="00070E4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255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3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4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4C6" w:rsidRPr="00070E41" w:rsidTr="00934168">
        <w:tc>
          <w:tcPr>
            <w:tcW w:w="562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30" w:type="dxa"/>
          </w:tcPr>
          <w:p w:rsidR="00045BE2" w:rsidRPr="00070E41" w:rsidRDefault="00E964C6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70E41">
              <w:rPr>
                <w:rFonts w:ascii="Times New Roman" w:hAnsi="Times New Roman" w:cs="Times New Roman"/>
                <w:szCs w:val="24"/>
              </w:rPr>
              <w:t>Аригольская</w:t>
            </w:r>
            <w:proofErr w:type="spellEnd"/>
            <w:r w:rsidRPr="00070E41">
              <w:rPr>
                <w:rFonts w:ascii="Times New Roman" w:hAnsi="Times New Roman" w:cs="Times New Roman"/>
                <w:szCs w:val="24"/>
              </w:rPr>
              <w:t xml:space="preserve"> группа месторождений </w:t>
            </w:r>
          </w:p>
        </w:tc>
        <w:tc>
          <w:tcPr>
            <w:tcW w:w="1255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3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4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4C6" w:rsidRPr="00070E41" w:rsidTr="00934168">
        <w:tc>
          <w:tcPr>
            <w:tcW w:w="562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330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70E41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255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83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4" w:type="dxa"/>
          </w:tcPr>
          <w:p w:rsidR="00045BE2" w:rsidRPr="00070E41" w:rsidRDefault="00045BE2" w:rsidP="00B53F9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43940" w:rsidRPr="00070E41" w:rsidRDefault="00A43940" w:rsidP="00A43940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3940" w:rsidRPr="00070E41" w:rsidRDefault="00A43940" w:rsidP="00BC63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3940" w:rsidRPr="00070E41" w:rsidRDefault="00A43940" w:rsidP="00A43940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жидкости глушения</w:t>
      </w: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 жидкости глушения – это ставка за единицу измерения материалов, указанных в Таблице №2. </w:t>
      </w: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жидкости глушения определяется Ставкой глушения и объемом использованной жидкости глушения предоставляемой подрядчиком. </w:t>
      </w: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жидкости глушения применяется в случаях, определенных техническим заданием (Приложение № 26). Обязательства Заказчика по предоставлению жидкости глушения в  случае применение данной ставки переходят к Подрядчику.</w:t>
      </w:r>
    </w:p>
    <w:p w:rsidR="00B42374" w:rsidRPr="00070E41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070E41" w:rsidSect="000558CF">
          <w:footerReference w:type="default" r:id="rId9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B42374" w:rsidRPr="00070E41" w:rsidRDefault="00B42374" w:rsidP="00DF0A60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C91AA8" w:rsidRPr="00070E41">
        <w:rPr>
          <w:rFonts w:ascii="Times New Roman" w:hAnsi="Times New Roman" w:cs="Times New Roman"/>
          <w:b/>
          <w:sz w:val="24"/>
          <w:szCs w:val="24"/>
        </w:rPr>
        <w:t>2</w:t>
      </w:r>
      <w:r w:rsidRPr="00070E41">
        <w:rPr>
          <w:rFonts w:ascii="Times New Roman" w:hAnsi="Times New Roman" w:cs="Times New Roman"/>
          <w:b/>
          <w:sz w:val="24"/>
          <w:szCs w:val="24"/>
        </w:rPr>
        <w:t>. Ставки жидкост</w:t>
      </w:r>
      <w:r w:rsidR="00D44B47" w:rsidRPr="00070E41">
        <w:rPr>
          <w:rFonts w:ascii="Times New Roman" w:hAnsi="Times New Roman" w:cs="Times New Roman"/>
          <w:b/>
          <w:sz w:val="24"/>
          <w:szCs w:val="24"/>
        </w:rPr>
        <w:t>и</w:t>
      </w:r>
      <w:r w:rsidRPr="00070E41">
        <w:rPr>
          <w:rFonts w:ascii="Times New Roman" w:hAnsi="Times New Roman" w:cs="Times New Roman"/>
          <w:b/>
          <w:sz w:val="24"/>
          <w:szCs w:val="24"/>
        </w:rPr>
        <w:t xml:space="preserve"> глушения</w:t>
      </w:r>
      <w:r w:rsidR="000106D1" w:rsidRPr="00070E4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436" w:type="dxa"/>
        <w:tblLayout w:type="fixed"/>
        <w:tblLook w:val="04A0" w:firstRow="1" w:lastRow="0" w:firstColumn="1" w:lastColumn="0" w:noHBand="0" w:noVBand="1"/>
      </w:tblPr>
      <w:tblGrid>
        <w:gridCol w:w="522"/>
        <w:gridCol w:w="2138"/>
        <w:gridCol w:w="850"/>
        <w:gridCol w:w="727"/>
        <w:gridCol w:w="601"/>
        <w:gridCol w:w="601"/>
        <w:gridCol w:w="601"/>
        <w:gridCol w:w="601"/>
        <w:gridCol w:w="601"/>
        <w:gridCol w:w="601"/>
        <w:gridCol w:w="601"/>
        <w:gridCol w:w="601"/>
        <w:gridCol w:w="491"/>
        <w:gridCol w:w="601"/>
        <w:gridCol w:w="601"/>
        <w:gridCol w:w="601"/>
        <w:gridCol w:w="601"/>
        <w:gridCol w:w="601"/>
        <w:gridCol w:w="601"/>
        <w:gridCol w:w="601"/>
        <w:gridCol w:w="601"/>
        <w:gridCol w:w="491"/>
        <w:gridCol w:w="601"/>
      </w:tblGrid>
      <w:tr w:rsidR="00DF0A60" w:rsidRPr="00070E41" w:rsidTr="00D44B47">
        <w:trPr>
          <w:trHeight w:val="306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119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жидкости, </w:t>
            </w:r>
            <w:proofErr w:type="gramStart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</w:tr>
      <w:tr w:rsidR="00D44B47" w:rsidRPr="00070E41" w:rsidTr="00D44B47">
        <w:trPr>
          <w:trHeight w:val="64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1,01-1,015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</w:tr>
      <w:tr w:rsidR="00D44B47" w:rsidRPr="00070E41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Жидкость глушения </w:t>
            </w:r>
            <w:proofErr w:type="spellStart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NaCl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</w:p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44B47" w:rsidRPr="00070E41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Жидкость глушения </w:t>
            </w:r>
            <w:proofErr w:type="spellStart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KCl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</w:p>
          <w:p w:rsidR="00DF0A60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44B47" w:rsidRPr="00070E41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Жидкость глушения CaCl2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</w:p>
          <w:p w:rsidR="00DF0A60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44B47" w:rsidRPr="00070E41" w:rsidTr="00D44B47">
        <w:trPr>
          <w:trHeight w:val="145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Жидкость технологическая (</w:t>
            </w:r>
            <w:proofErr w:type="gramStart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</w:t>
            </w:r>
            <w:proofErr w:type="gramEnd"/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очищенная без хим. реагентов)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</w:p>
          <w:p w:rsidR="00DF0A60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44B47" w:rsidRPr="00070E41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</w:p>
          <w:p w:rsidR="00DF0A60" w:rsidRPr="00070E41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070E41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0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</w:tbl>
    <w:p w:rsidR="00DF0A60" w:rsidRPr="00070E41" w:rsidRDefault="004141B2" w:rsidP="00B42374">
      <w:pPr>
        <w:jc w:val="both"/>
        <w:rPr>
          <w:rFonts w:ascii="Times New Roman" w:hAnsi="Times New Roman" w:cs="Times New Roman"/>
          <w:sz w:val="24"/>
          <w:szCs w:val="24"/>
        </w:rPr>
      </w:pPr>
      <w:r w:rsidRPr="00070E41">
        <w:rPr>
          <w:rFonts w:ascii="Times New Roman" w:hAnsi="Times New Roman" w:cs="Times New Roman"/>
          <w:sz w:val="24"/>
          <w:szCs w:val="24"/>
        </w:rPr>
        <w:t>* Ставки указаны без учета НДС</w:t>
      </w:r>
    </w:p>
    <w:p w:rsidR="00DF0A60" w:rsidRPr="00070E41" w:rsidRDefault="00DF0A60" w:rsidP="00B423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374" w:rsidRPr="00070E41" w:rsidRDefault="00B42374" w:rsidP="00DF0A60">
      <w:pPr>
        <w:rPr>
          <w:rFonts w:ascii="Times New Roman" w:hAnsi="Times New Roman" w:cs="Times New Roman"/>
          <w:sz w:val="24"/>
          <w:szCs w:val="24"/>
        </w:rPr>
        <w:sectPr w:rsidR="00B42374" w:rsidRPr="00070E41" w:rsidSect="00B423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070E4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43940" w:rsidRPr="00070E41" w:rsidRDefault="00A43940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940" w:rsidRPr="00070E41" w:rsidRDefault="00A43940" w:rsidP="00A43940">
      <w:pPr>
        <w:widowControl w:val="0"/>
        <w:spacing w:after="120" w:line="240" w:lineRule="exac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Мобилизации/Демобилизации</w:t>
      </w:r>
    </w:p>
    <w:p w:rsidR="00A43940" w:rsidRPr="00070E41" w:rsidRDefault="00A43940" w:rsidP="00A43940">
      <w:pPr>
        <w:widowControl w:val="0"/>
        <w:tabs>
          <w:tab w:val="left" w:pos="1276"/>
        </w:tabs>
        <w:spacing w:after="12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Флажок3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Ставка мобилизации  – означает единовременно выплачиваемую ставку за мобилизацию одной бригады с одной группы месторождений ОАО «СН-МНГ» на другую. Ставка мобилизации указана в Таблице №3. </w:t>
      </w:r>
    </w:p>
    <w:p w:rsidR="00A43940" w:rsidRPr="00070E41" w:rsidRDefault="00A43940" w:rsidP="00A43940">
      <w:pPr>
        <w:widowControl w:val="0"/>
        <w:numPr>
          <w:ilvl w:val="0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" w:name="Флажок4"/>
    </w:p>
    <w:p w:rsidR="00A43940" w:rsidRPr="00070E41" w:rsidRDefault="00A43940" w:rsidP="00A43940">
      <w:pPr>
        <w:widowControl w:val="0"/>
        <w:numPr>
          <w:ilvl w:val="1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43940" w:rsidRPr="00070E41" w:rsidRDefault="00A43940" w:rsidP="00A43940">
      <w:pPr>
        <w:widowControl w:val="0"/>
        <w:numPr>
          <w:ilvl w:val="2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bookmarkEnd w:id="1"/>
    <w:p w:rsidR="00A43940" w:rsidRPr="00070E41" w:rsidRDefault="00A43940" w:rsidP="00E964C6">
      <w:pPr>
        <w:widowControl w:val="0"/>
        <w:tabs>
          <w:tab w:val="left" w:pos="1276"/>
        </w:tabs>
        <w:spacing w:after="12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демобилизации – означает единовременно выплачиваемую ставку за демобилизацию </w:t>
      </w:r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</w:t>
      </w:r>
      <w:proofErr w:type="gramStart"/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</w:t>
      </w:r>
      <w:proofErr w:type="gramEnd"/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месторождений ОАО «СН-МНГ»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которую</w:t>
      </w:r>
      <w:proofErr w:type="gramEnd"/>
      <w:r w:rsidR="00045BE2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произведенная мобилизация до </w:t>
      </w:r>
      <w:r w:rsidR="00EE0ABE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первоначальной группы месторождений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Ставка демобилизации  указана в Таблице №3 . </w:t>
      </w:r>
    </w:p>
    <w:p w:rsidR="00A43940" w:rsidRPr="00070E41" w:rsidRDefault="00A43940" w:rsidP="00A43940">
      <w:pPr>
        <w:widowControl w:val="0"/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A43940" w:rsidRPr="00070E41" w:rsidRDefault="00A43940" w:rsidP="00A43940">
      <w:pPr>
        <w:widowControl w:val="0"/>
        <w:numPr>
          <w:ilvl w:val="0"/>
          <w:numId w:val="11"/>
        </w:numPr>
        <w:tabs>
          <w:tab w:val="num" w:pos="993"/>
        </w:tabs>
        <w:spacing w:before="120" w:after="120" w:line="240" w:lineRule="exact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примет решение не проводить демобилизацию до своего пункт</w:t>
      </w:r>
      <w:proofErr w:type="gramStart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местонахождения, или решит остаться на перевалочном пункте, либо немедленно приступить к мобилизации к другому месту проведения работ для другого юридического лица после окончания действия договора, то ставка демобилизации не применяется и подрядчик не вправе требовать ее уплаты Заказчиком.</w:t>
      </w:r>
    </w:p>
    <w:p w:rsidR="00A43940" w:rsidRPr="00070E41" w:rsidRDefault="00A43940" w:rsidP="00A43940">
      <w:pPr>
        <w:widowControl w:val="0"/>
        <w:numPr>
          <w:ilvl w:val="0"/>
          <w:numId w:val="11"/>
        </w:numPr>
        <w:tabs>
          <w:tab w:val="num" w:pos="993"/>
        </w:tabs>
        <w:spacing w:before="120" w:after="120" w:line="240" w:lineRule="exact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Pr="00070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 расторгается по причине, инициированной Заказчиком, в соответствии с условиями настоящего договора, то 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демобилизации не применяется и Подрядчик не вправе требовать ее уплаты Заказчиком.</w:t>
      </w:r>
    </w:p>
    <w:p w:rsidR="00A43940" w:rsidRPr="00070E41" w:rsidRDefault="001213E3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 xml:space="preserve">Стоимость мобилизации/демобилизации определяется  ставкой за </w:t>
      </w:r>
      <w:proofErr w:type="gramStart"/>
      <w:r w:rsidRPr="00070E41">
        <w:rPr>
          <w:rFonts w:ascii="Times New Roman" w:hAnsi="Times New Roman" w:cs="Times New Roman"/>
          <w:b/>
          <w:sz w:val="24"/>
          <w:szCs w:val="24"/>
        </w:rPr>
        <w:t>км</w:t>
      </w:r>
      <w:proofErr w:type="gramEnd"/>
      <w:r w:rsidRPr="00070E41">
        <w:rPr>
          <w:rFonts w:ascii="Times New Roman" w:hAnsi="Times New Roman" w:cs="Times New Roman"/>
          <w:b/>
          <w:sz w:val="24"/>
          <w:szCs w:val="24"/>
        </w:rPr>
        <w:t xml:space="preserve"> мобилизации/демобилизации и её расстоянием.</w:t>
      </w:r>
    </w:p>
    <w:p w:rsidR="00CC473A" w:rsidRPr="00070E41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Таблица №3</w:t>
      </w:r>
      <w:r w:rsidR="00E964C6" w:rsidRPr="00070E41">
        <w:rPr>
          <w:rFonts w:ascii="Times New Roman" w:hAnsi="Times New Roman" w:cs="Times New Roman"/>
          <w:b/>
          <w:sz w:val="24"/>
          <w:szCs w:val="24"/>
        </w:rPr>
        <w:t>. Ставки мобилизации/д</w:t>
      </w:r>
      <w:r w:rsidRPr="00070E41">
        <w:rPr>
          <w:rFonts w:ascii="Times New Roman" w:hAnsi="Times New Roman" w:cs="Times New Roman"/>
          <w:b/>
          <w:sz w:val="24"/>
          <w:szCs w:val="24"/>
        </w:rPr>
        <w:t>емобилизации</w:t>
      </w:r>
      <w:r w:rsidR="00BB63DE" w:rsidRPr="00070E41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40"/>
        <w:gridCol w:w="4955"/>
        <w:gridCol w:w="1843"/>
        <w:gridCol w:w="2126"/>
      </w:tblGrid>
      <w:tr w:rsidR="00E964C6" w:rsidRPr="00070E41" w:rsidTr="00E964C6">
        <w:tc>
          <w:tcPr>
            <w:tcW w:w="540" w:type="dxa"/>
            <w:shd w:val="clear" w:color="auto" w:fill="F2F2F2" w:themeFill="background1" w:themeFillShade="F2"/>
          </w:tcPr>
          <w:p w:rsidR="00E964C6" w:rsidRPr="00070E41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55" w:type="dxa"/>
            <w:shd w:val="clear" w:color="auto" w:fill="F2F2F2" w:themeFill="background1" w:themeFillShade="F2"/>
          </w:tcPr>
          <w:p w:rsidR="00E964C6" w:rsidRPr="00070E41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964C6" w:rsidRPr="00070E41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змер</w:t>
            </w:r>
            <w:proofErr w:type="spellEnd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964C6" w:rsidRPr="00070E41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 xml:space="preserve">Ставка за ед., </w:t>
            </w:r>
            <w:proofErr w:type="spellStart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70E41">
              <w:t xml:space="preserve"> </w:t>
            </w: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 xml:space="preserve">без НДС. </w:t>
            </w:r>
          </w:p>
        </w:tc>
      </w:tr>
      <w:tr w:rsidR="00E964C6" w:rsidRPr="00070E41" w:rsidTr="00E964C6">
        <w:tc>
          <w:tcPr>
            <w:tcW w:w="540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Мобилизация бригады КРС и Освоения скважин после бурения</w:t>
            </w:r>
          </w:p>
        </w:tc>
        <w:tc>
          <w:tcPr>
            <w:tcW w:w="1843" w:type="dxa"/>
          </w:tcPr>
          <w:p w:rsidR="00E964C6" w:rsidRPr="00070E41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070E41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4C6" w:rsidRPr="00070E41" w:rsidTr="00E964C6">
        <w:tc>
          <w:tcPr>
            <w:tcW w:w="540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5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Демобилизация бригады КРС и Освоения скважин после бурения</w:t>
            </w:r>
          </w:p>
        </w:tc>
        <w:tc>
          <w:tcPr>
            <w:tcW w:w="1843" w:type="dxa"/>
          </w:tcPr>
          <w:p w:rsidR="00E964C6" w:rsidRPr="00070E41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070E41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4C6" w:rsidRPr="00070E41" w:rsidTr="00E964C6">
        <w:tc>
          <w:tcPr>
            <w:tcW w:w="540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5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Мобилизация бригады ТРС</w:t>
            </w:r>
          </w:p>
        </w:tc>
        <w:tc>
          <w:tcPr>
            <w:tcW w:w="1843" w:type="dxa"/>
          </w:tcPr>
          <w:p w:rsidR="00E964C6" w:rsidRPr="00070E41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070E41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4C6" w:rsidRPr="00070E41" w:rsidTr="00E964C6">
        <w:tc>
          <w:tcPr>
            <w:tcW w:w="540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5" w:type="dxa"/>
          </w:tcPr>
          <w:p w:rsidR="00E964C6" w:rsidRPr="00070E41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Демобилизация бригады ТРС</w:t>
            </w:r>
          </w:p>
        </w:tc>
        <w:tc>
          <w:tcPr>
            <w:tcW w:w="1843" w:type="dxa"/>
          </w:tcPr>
          <w:p w:rsidR="00E964C6" w:rsidRPr="00070E41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070E41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940" w:rsidRPr="00070E41" w:rsidRDefault="00CC473A" w:rsidP="00CC47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70E41">
        <w:rPr>
          <w:rFonts w:ascii="Times New Roman" w:hAnsi="Times New Roman" w:cs="Times New Roman"/>
          <w:sz w:val="24"/>
          <w:szCs w:val="24"/>
        </w:rPr>
        <w:t>*</w:t>
      </w:r>
      <w:r w:rsidRPr="00070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3DE" w:rsidRPr="00070E41">
        <w:rPr>
          <w:rFonts w:ascii="Times New Roman" w:hAnsi="Times New Roman" w:cs="Times New Roman"/>
          <w:sz w:val="24"/>
          <w:szCs w:val="24"/>
        </w:rPr>
        <w:t>П</w:t>
      </w:r>
      <w:r w:rsidRPr="00070E41">
        <w:rPr>
          <w:rFonts w:ascii="Times New Roman" w:hAnsi="Times New Roman" w:cs="Times New Roman"/>
          <w:sz w:val="24"/>
          <w:szCs w:val="24"/>
        </w:rPr>
        <w:t>рименяютс</w:t>
      </w:r>
      <w:r w:rsidR="00BB63DE" w:rsidRPr="00070E41">
        <w:rPr>
          <w:rFonts w:ascii="Times New Roman" w:hAnsi="Times New Roman" w:cs="Times New Roman"/>
          <w:sz w:val="24"/>
          <w:szCs w:val="24"/>
        </w:rPr>
        <w:t>я при фактической мобилизации/</w:t>
      </w:r>
      <w:r w:rsidRPr="00070E41">
        <w:rPr>
          <w:rFonts w:ascii="Times New Roman" w:hAnsi="Times New Roman" w:cs="Times New Roman"/>
          <w:sz w:val="24"/>
          <w:szCs w:val="24"/>
        </w:rPr>
        <w:t>демобилизации.</w:t>
      </w:r>
    </w:p>
    <w:p w:rsidR="00A43940" w:rsidRPr="00070E41" w:rsidRDefault="00A43940" w:rsidP="00A43940">
      <w:pPr>
        <w:widowControl w:val="0"/>
        <w:spacing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за Дополнительное оборудование.</w:t>
      </w:r>
    </w:p>
    <w:p w:rsidR="00A43940" w:rsidRPr="00070E41" w:rsidRDefault="00A43940" w:rsidP="00A43940">
      <w:pPr>
        <w:widowControl w:val="0"/>
        <w:autoSpaceDE w:val="0"/>
        <w:autoSpaceDN w:val="0"/>
        <w:adjustRightInd w:val="0"/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дополнительного оборудования – это ставка, выплачиваемая за использование дополнительного оборудования в расчёте на единицу измерения по требованию Заказчика согласно условиям, определяемым в плане-заказе/плане работ. Ставка дополнительного оборудования указана в Таблице № 4.</w:t>
      </w:r>
    </w:p>
    <w:p w:rsidR="00A43940" w:rsidRPr="00070E41" w:rsidRDefault="00A43940" w:rsidP="00A43940">
      <w:pPr>
        <w:widowControl w:val="0"/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оплачивает Подрядчику стоимость использования какого-либо дополнительного оборудования, которое Заказчик предварительно не запросил в плане-заказе.</w:t>
      </w:r>
    </w:p>
    <w:p w:rsidR="00A43940" w:rsidRPr="00070E41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Заказчиком не </w:t>
      </w:r>
      <w:proofErr w:type="gramStart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оплачивается стоимость аренды</w:t>
      </w:r>
      <w:proofErr w:type="gramEnd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больше его остаточной стоимости.</w:t>
      </w:r>
    </w:p>
    <w:p w:rsidR="00A43940" w:rsidRPr="00070E41" w:rsidRDefault="00A43940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3C5" w:rsidRPr="00070E41" w:rsidRDefault="00BC63C5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3DE" w:rsidRPr="00070E41" w:rsidRDefault="00BB63DE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73A" w:rsidRPr="00070E41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lastRenderedPageBreak/>
        <w:t>Таблица №4. Ставка за дополнительное оборудование</w:t>
      </w:r>
      <w:r w:rsidR="00503630" w:rsidRPr="00070E41">
        <w:rPr>
          <w:rFonts w:ascii="Times New Roman" w:hAnsi="Times New Roman" w:cs="Times New Roman"/>
          <w:b/>
          <w:sz w:val="24"/>
          <w:szCs w:val="24"/>
        </w:rPr>
        <w:t xml:space="preserve"> без НДС</w:t>
      </w:r>
      <w:r w:rsidR="00BB63DE" w:rsidRPr="00070E41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968"/>
        <w:gridCol w:w="2393"/>
        <w:gridCol w:w="2393"/>
      </w:tblGrid>
      <w:tr w:rsidR="00C91AA8" w:rsidRPr="00070E41" w:rsidTr="00B53F9F">
        <w:tc>
          <w:tcPr>
            <w:tcW w:w="817" w:type="dxa"/>
            <w:shd w:val="clear" w:color="auto" w:fill="F2F2F2" w:themeFill="background1" w:themeFillShade="F2"/>
          </w:tcPr>
          <w:p w:rsidR="00C91AA8" w:rsidRPr="00070E41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8" w:type="dxa"/>
            <w:shd w:val="clear" w:color="auto" w:fill="F2F2F2" w:themeFill="background1" w:themeFillShade="F2"/>
          </w:tcPr>
          <w:p w:rsidR="00C91AA8" w:rsidRPr="00070E41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Тип оборудования</w:t>
            </w:r>
          </w:p>
        </w:tc>
        <w:tc>
          <w:tcPr>
            <w:tcW w:w="2393" w:type="dxa"/>
            <w:shd w:val="clear" w:color="auto" w:fill="F2F2F2" w:themeFill="background1" w:themeFillShade="F2"/>
          </w:tcPr>
          <w:p w:rsidR="00C91AA8" w:rsidRPr="00070E41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2393" w:type="dxa"/>
            <w:shd w:val="clear" w:color="auto" w:fill="F2F2F2" w:themeFill="background1" w:themeFillShade="F2"/>
          </w:tcPr>
          <w:p w:rsidR="00C91AA8" w:rsidRPr="00070E41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Ставка, руб.</w:t>
            </w:r>
            <w:r w:rsidR="000106D1" w:rsidRPr="00070E41">
              <w:t xml:space="preserve"> </w:t>
            </w:r>
            <w:r w:rsidR="000106D1" w:rsidRPr="00070E41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</w:tr>
      <w:tr w:rsidR="00C91AA8" w:rsidRPr="00070E41" w:rsidTr="00B53F9F">
        <w:tc>
          <w:tcPr>
            <w:tcW w:w="817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Дизельный генератор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За ед. в сутки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A8" w:rsidRPr="00070E41" w:rsidTr="00B53F9F">
        <w:tc>
          <w:tcPr>
            <w:tcW w:w="817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НКТ 60 мм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За метр в сутки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A8" w:rsidRPr="00070E41" w:rsidTr="00B53F9F">
        <w:tc>
          <w:tcPr>
            <w:tcW w:w="817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Противовыбросовое оборудование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За ед. в сутки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A8" w:rsidRPr="00070E41" w:rsidTr="00B53F9F">
        <w:tc>
          <w:tcPr>
            <w:tcW w:w="817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4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91AA8" w:rsidRPr="00070E41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AA8" w:rsidRPr="00070E41" w:rsidRDefault="00CC473A" w:rsidP="00CC473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E41">
        <w:rPr>
          <w:rFonts w:ascii="Times New Roman" w:hAnsi="Times New Roman" w:cs="Times New Roman"/>
          <w:b/>
          <w:sz w:val="24"/>
          <w:szCs w:val="24"/>
        </w:rPr>
        <w:t>*</w:t>
      </w:r>
      <w:r w:rsidR="00BB63DE" w:rsidRPr="00070E41">
        <w:rPr>
          <w:rFonts w:ascii="Times New Roman" w:hAnsi="Times New Roman" w:cs="Times New Roman"/>
          <w:sz w:val="24"/>
          <w:szCs w:val="24"/>
        </w:rPr>
        <w:t>П</w:t>
      </w:r>
      <w:r w:rsidRPr="00070E41">
        <w:rPr>
          <w:rFonts w:ascii="Times New Roman" w:hAnsi="Times New Roman" w:cs="Times New Roman"/>
          <w:sz w:val="24"/>
          <w:szCs w:val="24"/>
        </w:rPr>
        <w:t>рименяется при фактическом использовании дополнительного оборудования.</w:t>
      </w:r>
    </w:p>
    <w:p w:rsidR="00A43940" w:rsidRPr="00070E41" w:rsidRDefault="00A43940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аренды оборудования.</w:t>
      </w:r>
    </w:p>
    <w:p w:rsidR="00A43940" w:rsidRPr="00070E41" w:rsidRDefault="00A43940" w:rsidP="00A43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 Аренды оборудования Подрядчика в период осенне-весеннего бездорожья оплата Аренды оборудования производится </w:t>
      </w:r>
      <w:r w:rsidR="00CB2E21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ставки в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№1,) и фиксируется в актах выполненных работ. </w:t>
      </w:r>
      <w:proofErr w:type="gramEnd"/>
    </w:p>
    <w:p w:rsidR="00A43940" w:rsidRPr="00070E41" w:rsidRDefault="00E964C6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Ставка ожидания </w:t>
      </w:r>
      <w:r w:rsidR="00A43940"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бригадой</w:t>
      </w:r>
      <w:r w:rsidR="00A43940"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2/3 от Сервисной ставки КРС, ТРС или Освоения (Таблица №1,) соответственно в час, и применяется в случаях, когда оборудование Подрядчика полностью укомплектовано персоналом и находится в стадии готовности начать или возобновить работы / операции, в течение любого срока задержки или временной приостановки работ, без роспуска персонала подрядчика, по причине:</w:t>
      </w:r>
      <w:proofErr w:type="gramEnd"/>
    </w:p>
    <w:p w:rsidR="00A43940" w:rsidRPr="00070E41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 готовности скважины;</w:t>
      </w:r>
    </w:p>
    <w:p w:rsidR="00A43940" w:rsidRPr="00070E41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 указаний Заказчика или материалов Заказчика, предоставления разрешений Заказчиком, в случае отказа оборудования, коммуникаций или инфраструктуры, предоставленных Заказчиком;</w:t>
      </w:r>
    </w:p>
    <w:p w:rsidR="00A43940" w:rsidRPr="00070E41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приостановки работ по инструкции Заказчика без вины Подрядчика;</w:t>
      </w:r>
    </w:p>
    <w:p w:rsidR="00A43940" w:rsidRPr="00070E41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согласования изменений плана работ, в том числе время на изготовление и доставку не стандартного оборудования </w:t>
      </w:r>
      <w:r w:rsid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10 (десяти) часов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время на доставку стандартного оборудования </w:t>
      </w:r>
      <w:r w:rsid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4 (четырех) часов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3940" w:rsidRPr="00070E41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и проведения работ при комплексном планово-предупредительном ремонте оборудования бригадного хозяйства и подъемных агрегатов (КППР), согласно графику и регламенту,  согласованных с </w:t>
      </w:r>
      <w:bookmarkStart w:id="2" w:name="_GoBack"/>
      <w:bookmarkEnd w:id="2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Заказчиком, но не более 8 часов в сутки.</w:t>
      </w:r>
    </w:p>
    <w:p w:rsidR="00A43940" w:rsidRPr="00070E41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оплате Заказчиком выставляются простои или технологические ожидания продолжительностью 3 часа и выше. Простои по вине Подрядчика не оплачиваются.</w:t>
      </w:r>
    </w:p>
    <w:p w:rsidR="00A43940" w:rsidRPr="00070E41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периода такого ожидания Подрядчик вправе, при условии согласия Заказчика, выполнять техническое обслуживание или ремонты оборудования Подрядчика.</w:t>
      </w:r>
    </w:p>
    <w:p w:rsidR="00A43940" w:rsidRPr="00070E41" w:rsidRDefault="00A43940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ожидания по метеоусловиям</w:t>
      </w:r>
      <w:r w:rsidRPr="00070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2/3 от Сервисной ставки КРС, ТРС или Освоения (Таблица №1,) соответственно в час, и применяется в случаях, когда оборудование Подрядчика полностью  укомплектовано персоналом и находятся в стадии готовности начать или возобновить работы, в течение любого срока задержки или временной приостановки работ по причине неблагоприятных погодных условий (таких как сильный холод, жара и т.д</w:t>
      </w:r>
      <w:proofErr w:type="gramEnd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.), в соответствии с государственными правилами, предписывающими приостановку работ. Данная ставка применяется с момента объявления неблагоприятных метеоусловий центральной диспетчерской службой Заказчика при достижении температурных показателей, определенных каждым соответствующим субъектом РФ. Ставка ожидания по метеоусловиям не применяется с момента объявления о прекращении неблагоприятных погодных условий центральной диспетчерской службой Заказчика. Оплата по ставке ожидания по метеоусловиям производится при наличии акта на технологический перерыв по метеоусловиям, зафиксированным в сводках ЦИТС Заказчика, подписанного обеими Сторонами (по форме согласно Приложению № 3 настоящего Договора).</w:t>
      </w: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A43940" w:rsidRPr="00070E41" w:rsidRDefault="00A43940" w:rsidP="00A43940">
      <w:pPr>
        <w:widowControl w:val="0"/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0E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Непроизводительное время</w:t>
      </w:r>
    </w:p>
    <w:p w:rsidR="00A43940" w:rsidRPr="00070E41" w:rsidRDefault="00A43940" w:rsidP="00A4394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Непроизводительное время (НПВ) Подрядчика определяется как время, в течение которого Заказчиком не оплачивается какая-либо ставка Подрядчика.</w:t>
      </w:r>
    </w:p>
    <w:p w:rsidR="00A43940" w:rsidRPr="00070E41" w:rsidRDefault="00A43940" w:rsidP="00A43940">
      <w:pPr>
        <w:widowControl w:val="0"/>
        <w:overflowPunct w:val="0"/>
        <w:autoSpaceDE w:val="0"/>
        <w:autoSpaceDN w:val="0"/>
        <w:adjustRightInd w:val="0"/>
        <w:spacing w:after="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время может включать в себя временные интервалы между окончанием работ по скважине и переездами между скважинами, перерывы на питание и отдых персонала подрядчика,, задержки проведения организационных мероприятий, в том числе по планированию и подготовке работ, либо более длительное по времени, чем нормативное, выполнение операций на скважине, которое может быть связано с отказом или отсутствием оборудования Подрядчика или его части</w:t>
      </w:r>
      <w:proofErr w:type="gramEnd"/>
      <w:r w:rsidRPr="00070E4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отсутствием необходимых материалов подрядчика, а также ненадлежащим выполнением технологических операций Подрядчиком.</w:t>
      </w:r>
    </w:p>
    <w:p w:rsidR="00A43940" w:rsidRPr="00070E41" w:rsidRDefault="00A43940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AA8" w:rsidRPr="00070E41" w:rsidRDefault="00C91AA8" w:rsidP="00C91AA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70E41">
        <w:rPr>
          <w:rFonts w:ascii="Times New Roman" w:hAnsi="Times New Roman" w:cs="Times New Roman"/>
          <w:i/>
          <w:sz w:val="24"/>
          <w:szCs w:val="24"/>
        </w:rPr>
        <w:t xml:space="preserve">Примечание: Заказчиком не </w:t>
      </w:r>
      <w:proofErr w:type="gramStart"/>
      <w:r w:rsidRPr="00070E41">
        <w:rPr>
          <w:rFonts w:ascii="Times New Roman" w:hAnsi="Times New Roman" w:cs="Times New Roman"/>
          <w:i/>
          <w:sz w:val="24"/>
          <w:szCs w:val="24"/>
        </w:rPr>
        <w:t>оплачивается стоимость аренды</w:t>
      </w:r>
      <w:proofErr w:type="gramEnd"/>
      <w:r w:rsidRPr="00070E41">
        <w:rPr>
          <w:rFonts w:ascii="Times New Roman" w:hAnsi="Times New Roman" w:cs="Times New Roman"/>
          <w:i/>
          <w:sz w:val="24"/>
          <w:szCs w:val="24"/>
        </w:rPr>
        <w:t xml:space="preserve"> оборудования больше его остаточной стоимости.</w:t>
      </w:r>
    </w:p>
    <w:p w:rsidR="001D1880" w:rsidRPr="00070E41" w:rsidRDefault="001D1880" w:rsidP="001D1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1D1880" w:rsidRPr="001D1880" w:rsidTr="00247358">
        <w:tc>
          <w:tcPr>
            <w:tcW w:w="5243" w:type="dxa"/>
            <w:shd w:val="clear" w:color="auto" w:fill="auto"/>
          </w:tcPr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ПОДРЯДЧИК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Наименование подрядчика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Генеральный директор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 xml:space="preserve">_______________(Ф.И.О) </w:t>
            </w:r>
          </w:p>
        </w:tc>
        <w:tc>
          <w:tcPr>
            <w:tcW w:w="3936" w:type="dxa"/>
            <w:shd w:val="clear" w:color="auto" w:fill="auto"/>
          </w:tcPr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ЗАКАЗЧИК: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ОАО «СН-МНГ»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>Директора по добыче нефти и газа</w:t>
            </w: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D1880" w:rsidRPr="00070E41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70E41">
              <w:rPr>
                <w:rFonts w:ascii="Times New Roman" w:eastAsia="Calibri" w:hAnsi="Times New Roman" w:cs="Times New Roman"/>
                <w:sz w:val="24"/>
              </w:rPr>
              <w:t xml:space="preserve">________________(Ф.И.О) </w:t>
            </w:r>
            <w:r w:rsidRPr="001D188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</w:tbl>
    <w:p w:rsidR="00C91AA8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AA8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AA8" w:rsidRPr="00D44B47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1AA8" w:rsidRPr="00D44B47" w:rsidSect="00B42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02" w:rsidRDefault="006C1602" w:rsidP="005D6E20">
      <w:pPr>
        <w:spacing w:after="0" w:line="240" w:lineRule="auto"/>
      </w:pPr>
      <w:r>
        <w:separator/>
      </w:r>
    </w:p>
  </w:endnote>
  <w:endnote w:type="continuationSeparator" w:id="0">
    <w:p w:rsidR="006C1602" w:rsidRDefault="006C1602" w:rsidP="005D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E20" w:rsidRDefault="005D6E20">
    <w:pPr>
      <w:pStyle w:val="a7"/>
    </w:pPr>
  </w:p>
  <w:p w:rsidR="005D6E20" w:rsidRDefault="005D6E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02" w:rsidRDefault="006C1602" w:rsidP="005D6E20">
      <w:pPr>
        <w:spacing w:after="0" w:line="240" w:lineRule="auto"/>
      </w:pPr>
      <w:r>
        <w:separator/>
      </w:r>
    </w:p>
  </w:footnote>
  <w:footnote w:type="continuationSeparator" w:id="0">
    <w:p w:rsidR="006C1602" w:rsidRDefault="006C1602" w:rsidP="005D6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241"/>
    <w:multiLevelType w:val="multilevel"/>
    <w:tmpl w:val="8688A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CA06D6"/>
    <w:multiLevelType w:val="multilevel"/>
    <w:tmpl w:val="7496FF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">
    <w:nsid w:val="0C582B0A"/>
    <w:multiLevelType w:val="hybridMultilevel"/>
    <w:tmpl w:val="2FE484AA"/>
    <w:lvl w:ilvl="0" w:tplc="8E1C539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AD09AC8">
      <w:start w:val="1"/>
      <w:numFmt w:val="lowerLetter"/>
      <w:lvlText w:val="(%2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2" w:tplc="9036CF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3A276E4">
      <w:start w:val="1"/>
      <w:numFmt w:val="decimal"/>
      <w:lvlText w:val="%4."/>
      <w:lvlJc w:val="left"/>
      <w:pPr>
        <w:tabs>
          <w:tab w:val="num" w:pos="3315"/>
        </w:tabs>
        <w:ind w:left="3315" w:hanging="795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7554C2"/>
    <w:multiLevelType w:val="multilevel"/>
    <w:tmpl w:val="ADD2C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E7F2054"/>
    <w:multiLevelType w:val="multilevel"/>
    <w:tmpl w:val="7814F1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4266FFD"/>
    <w:multiLevelType w:val="hybridMultilevel"/>
    <w:tmpl w:val="0DBC5248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158AE"/>
    <w:multiLevelType w:val="multilevel"/>
    <w:tmpl w:val="8D241A0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C9958CE"/>
    <w:multiLevelType w:val="hybridMultilevel"/>
    <w:tmpl w:val="8EE2F65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D5888"/>
    <w:multiLevelType w:val="hybridMultilevel"/>
    <w:tmpl w:val="26DE6770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178E2"/>
    <w:multiLevelType w:val="hybridMultilevel"/>
    <w:tmpl w:val="2ED0333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A80D17"/>
    <w:multiLevelType w:val="multilevel"/>
    <w:tmpl w:val="F98C3394"/>
    <w:lvl w:ilvl="0">
      <w:start w:val="5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0" w:hanging="7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780" w:hanging="7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A1C00BF"/>
    <w:multiLevelType w:val="hybridMultilevel"/>
    <w:tmpl w:val="4910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12297"/>
    <w:multiLevelType w:val="hybridMultilevel"/>
    <w:tmpl w:val="4B268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106D1"/>
    <w:rsid w:val="00045BE2"/>
    <w:rsid w:val="000558CF"/>
    <w:rsid w:val="00070E41"/>
    <w:rsid w:val="00087D02"/>
    <w:rsid w:val="000B0F70"/>
    <w:rsid w:val="001213E3"/>
    <w:rsid w:val="001502BB"/>
    <w:rsid w:val="001D1880"/>
    <w:rsid w:val="00217A60"/>
    <w:rsid w:val="00261A25"/>
    <w:rsid w:val="00323E02"/>
    <w:rsid w:val="0035360E"/>
    <w:rsid w:val="00360253"/>
    <w:rsid w:val="00367B71"/>
    <w:rsid w:val="00374D06"/>
    <w:rsid w:val="00376A15"/>
    <w:rsid w:val="003D5278"/>
    <w:rsid w:val="003E5207"/>
    <w:rsid w:val="004141B2"/>
    <w:rsid w:val="004242F2"/>
    <w:rsid w:val="00503630"/>
    <w:rsid w:val="00590365"/>
    <w:rsid w:val="005D6E20"/>
    <w:rsid w:val="005E7775"/>
    <w:rsid w:val="005F652F"/>
    <w:rsid w:val="0065473F"/>
    <w:rsid w:val="006B7F94"/>
    <w:rsid w:val="006C1602"/>
    <w:rsid w:val="006C1ECF"/>
    <w:rsid w:val="006D0ABA"/>
    <w:rsid w:val="006E223E"/>
    <w:rsid w:val="006F10FF"/>
    <w:rsid w:val="006F2E4C"/>
    <w:rsid w:val="006F3959"/>
    <w:rsid w:val="00707D80"/>
    <w:rsid w:val="00750FB2"/>
    <w:rsid w:val="00844697"/>
    <w:rsid w:val="00851967"/>
    <w:rsid w:val="00854E48"/>
    <w:rsid w:val="008A7BB8"/>
    <w:rsid w:val="00914A62"/>
    <w:rsid w:val="00934168"/>
    <w:rsid w:val="00947A53"/>
    <w:rsid w:val="00972FA2"/>
    <w:rsid w:val="00975783"/>
    <w:rsid w:val="00977ADA"/>
    <w:rsid w:val="00985998"/>
    <w:rsid w:val="009D719F"/>
    <w:rsid w:val="00A12995"/>
    <w:rsid w:val="00A43940"/>
    <w:rsid w:val="00AB2E83"/>
    <w:rsid w:val="00B2593E"/>
    <w:rsid w:val="00B42374"/>
    <w:rsid w:val="00B60674"/>
    <w:rsid w:val="00B647AB"/>
    <w:rsid w:val="00BB63DE"/>
    <w:rsid w:val="00BC4E38"/>
    <w:rsid w:val="00BC63C5"/>
    <w:rsid w:val="00C50DE8"/>
    <w:rsid w:val="00C705FD"/>
    <w:rsid w:val="00C9078B"/>
    <w:rsid w:val="00C91AA8"/>
    <w:rsid w:val="00C92F2F"/>
    <w:rsid w:val="00CA0805"/>
    <w:rsid w:val="00CB2E21"/>
    <w:rsid w:val="00CC473A"/>
    <w:rsid w:val="00D05420"/>
    <w:rsid w:val="00D36CC1"/>
    <w:rsid w:val="00D44B47"/>
    <w:rsid w:val="00D749E5"/>
    <w:rsid w:val="00DF0A60"/>
    <w:rsid w:val="00DF744A"/>
    <w:rsid w:val="00E15728"/>
    <w:rsid w:val="00E747C4"/>
    <w:rsid w:val="00E964C6"/>
    <w:rsid w:val="00EE0ABE"/>
    <w:rsid w:val="00EF5F03"/>
    <w:rsid w:val="00F16F5D"/>
    <w:rsid w:val="00F27AF2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503630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217A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E20"/>
  </w:style>
  <w:style w:type="paragraph" w:styleId="a7">
    <w:name w:val="footer"/>
    <w:basedOn w:val="a"/>
    <w:link w:val="a8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E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503630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217A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E20"/>
  </w:style>
  <w:style w:type="paragraph" w:styleId="a7">
    <w:name w:val="footer"/>
    <w:basedOn w:val="a"/>
    <w:link w:val="a8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9CB9-7E78-425C-9C71-7DA81CD5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4</cp:revision>
  <cp:lastPrinted>2015-09-15T04:43:00Z</cp:lastPrinted>
  <dcterms:created xsi:type="dcterms:W3CDTF">2015-11-11T09:37:00Z</dcterms:created>
  <dcterms:modified xsi:type="dcterms:W3CDTF">2016-03-15T10:48:00Z</dcterms:modified>
</cp:coreProperties>
</file>