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53" w:rsidRDefault="002E2853" w:rsidP="002E2853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E2853" w:rsidRPr="00A91EA3" w:rsidRDefault="002E2853" w:rsidP="002E2853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91EA3">
        <w:rPr>
          <w:rFonts w:ascii="Times New Roman" w:eastAsia="Times New Roman" w:hAnsi="Times New Roman" w:cs="Times New Roman"/>
          <w:bCs/>
          <w:iCs/>
          <w:lang w:eastAsia="ru-RU"/>
        </w:rPr>
        <w:t xml:space="preserve">Приложение </w:t>
      </w:r>
      <w:r w:rsidRPr="0029762B">
        <w:rPr>
          <w:rFonts w:ascii="Times New Roman" w:eastAsia="Times New Roman" w:hAnsi="Times New Roman" w:cs="Times New Roman"/>
          <w:bCs/>
          <w:iCs/>
          <w:lang w:eastAsia="ru-RU"/>
        </w:rPr>
        <w:t>№</w:t>
      </w:r>
      <w:r w:rsidR="00434424" w:rsidRPr="006D7EB7">
        <w:rPr>
          <w:rFonts w:ascii="Times New Roman" w:eastAsia="Times New Roman" w:hAnsi="Times New Roman" w:cs="Times New Roman"/>
          <w:bCs/>
          <w:iCs/>
          <w:highlight w:val="lightGray"/>
          <w:shd w:val="clear" w:color="auto" w:fill="D9D9D9" w:themeFill="background1" w:themeFillShade="D9"/>
          <w:lang w:eastAsia="ru-RU"/>
        </w:rPr>
        <w:t>1</w:t>
      </w:r>
      <w:r w:rsidR="006D7EB7" w:rsidRPr="006D7EB7">
        <w:rPr>
          <w:rFonts w:ascii="Times New Roman" w:eastAsia="Times New Roman" w:hAnsi="Times New Roman" w:cs="Times New Roman"/>
          <w:bCs/>
          <w:iCs/>
          <w:shd w:val="clear" w:color="auto" w:fill="D9D9D9" w:themeFill="background1" w:themeFillShade="D9"/>
          <w:lang w:eastAsia="ru-RU"/>
        </w:rPr>
        <w:t>/1</w:t>
      </w:r>
    </w:p>
    <w:p w:rsidR="002E2853" w:rsidRDefault="002E2853" w:rsidP="002E285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77EF7">
        <w:rPr>
          <w:rFonts w:ascii="Times New Roman" w:eastAsia="Times New Roman" w:hAnsi="Times New Roman" w:cs="Times New Roman"/>
          <w:lang w:eastAsia="ru-RU"/>
        </w:rPr>
        <w:t>Договору №</w:t>
      </w:r>
      <w:r w:rsidRPr="00EA4A1B">
        <w:rPr>
          <w:rFonts w:ascii="Times New Roman" w:eastAsia="Times New Roman" w:hAnsi="Times New Roman" w:cs="Times New Roman"/>
          <w:highlight w:val="lightGray"/>
          <w:lang w:eastAsia="ru-RU"/>
        </w:rPr>
        <w:t>______________</w:t>
      </w:r>
      <w:r w:rsidRPr="00677EF7">
        <w:rPr>
          <w:rFonts w:ascii="Times New Roman" w:eastAsia="Times New Roman" w:hAnsi="Times New Roman" w:cs="Times New Roman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4A1B">
        <w:rPr>
          <w:rFonts w:ascii="Times New Roman" w:eastAsia="Times New Roman" w:hAnsi="Times New Roman" w:cs="Times New Roman"/>
          <w:highlight w:val="lightGray"/>
          <w:lang w:eastAsia="ru-RU"/>
        </w:rPr>
        <w:t>___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7EF7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EA4A1B">
        <w:rPr>
          <w:rFonts w:ascii="Times New Roman" w:eastAsia="Times New Roman" w:hAnsi="Times New Roman" w:cs="Times New Roman"/>
          <w:highlight w:val="lightGray"/>
          <w:lang w:eastAsia="ru-RU"/>
        </w:rPr>
        <w:t>___</w:t>
      </w:r>
      <w:r w:rsidRPr="00677EF7">
        <w:rPr>
          <w:rFonts w:ascii="Times New Roman" w:eastAsia="Times New Roman" w:hAnsi="Times New Roman" w:cs="Times New Roman"/>
          <w:lang w:eastAsia="ru-RU"/>
        </w:rPr>
        <w:t>.</w:t>
      </w:r>
      <w:r w:rsidRPr="00EA4A1B">
        <w:rPr>
          <w:rFonts w:ascii="Times New Roman" w:eastAsia="Times New Roman" w:hAnsi="Times New Roman" w:cs="Times New Roman"/>
          <w:highlight w:val="lightGray"/>
          <w:lang w:eastAsia="ru-RU"/>
        </w:rPr>
        <w:t>_______</w:t>
      </w:r>
      <w:r w:rsidRPr="00677EF7">
        <w:rPr>
          <w:rFonts w:ascii="Times New Roman" w:eastAsia="Times New Roman" w:hAnsi="Times New Roman" w:cs="Times New Roman"/>
          <w:lang w:eastAsia="ru-RU"/>
        </w:rPr>
        <w:t>г.</w:t>
      </w:r>
    </w:p>
    <w:p w:rsidR="002E2853" w:rsidRPr="002E2853" w:rsidRDefault="002E2853" w:rsidP="002E28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bookmarkStart w:id="0" w:name="_GoBack"/>
      <w:bookmarkEnd w:id="0"/>
    </w:p>
    <w:p w:rsidR="00BC1694" w:rsidRPr="00BC1694" w:rsidRDefault="00BC1694" w:rsidP="00BC16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 xml:space="preserve">к Договору: Выполнение работ по составлению проекта на геологическое изучение </w:t>
      </w:r>
      <w:proofErr w:type="spellStart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</w:r>
      <w:proofErr w:type="spellStart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>Охтеурском</w:t>
      </w:r>
      <w:proofErr w:type="spellEnd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 xml:space="preserve"> месторождении </w:t>
      </w:r>
      <w:proofErr w:type="spellStart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>Максимкинского</w:t>
      </w:r>
      <w:proofErr w:type="spellEnd"/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 xml:space="preserve"> лицензионного участка.</w:t>
      </w: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proofErr w:type="gram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BC1694" w:rsidRPr="00BC1694" w:rsidRDefault="00BC1694" w:rsidP="00BC1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составлению проекта на геологическое изучение </w:t>
      </w:r>
      <w:proofErr w:type="spell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</w:r>
      <w:proofErr w:type="spell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Охтеурском</w:t>
      </w:r>
      <w:proofErr w:type="spellEnd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месторождении </w:t>
      </w:r>
      <w:proofErr w:type="spell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Максимкинского</w:t>
      </w:r>
      <w:proofErr w:type="spellEnd"/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лицензионного участка.</w:t>
      </w: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ОБЪЕКТА: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Восточно-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Охтеурское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нефти</w:t>
      </w: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РАБОТ: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 ФИНАНСИРОВАНИЯ: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Собственные средства ОАО «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-Мегионнефтегаз».</w:t>
      </w:r>
    </w:p>
    <w:p w:rsidR="00BC1694" w:rsidRPr="00BC1694" w:rsidRDefault="00BC1694" w:rsidP="00BC1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spacing w:after="0" w:line="21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ИСПОЛНИТЕЛИ РАБОТ:</w:t>
      </w:r>
    </w:p>
    <w:p w:rsidR="00BC1694" w:rsidRPr="00BC1694" w:rsidRDefault="00BC1694" w:rsidP="00BC1694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*Первый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(составление проекта)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BC1694" w:rsidRPr="00BC1694" w:rsidRDefault="00BC1694" w:rsidP="00BC1694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(полевые работы)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определяется на конкурсной основе на этапе реализации</w:t>
      </w:r>
    </w:p>
    <w:p w:rsidR="00BC1694" w:rsidRPr="00BC1694" w:rsidRDefault="00BC1694" w:rsidP="00BC1694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(подсчет запасов)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определяется на конкурсной основе на этапе реализации</w:t>
      </w:r>
    </w:p>
    <w:p w:rsidR="00BC1694" w:rsidRPr="00BC1694" w:rsidRDefault="00BC1694" w:rsidP="00BC1694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ЦЕЛЕВОЕ НАЗНАЧЕНИЕ, ПРОСТРАНСТВЕННЫЕ ГРАНИЦЫ, ОЦЕНОЧНЫЕ ПАРАМЕТРЫ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iCs/>
          <w:color w:val="262626"/>
          <w:sz w:val="24"/>
          <w:szCs w:val="24"/>
          <w:lang w:eastAsia="ru-RU"/>
        </w:rPr>
      </w:pP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iCs/>
          <w:color w:val="262626"/>
          <w:sz w:val="24"/>
          <w:szCs w:val="24"/>
          <w:lang w:eastAsia="ru-RU"/>
        </w:rPr>
        <w:t>1.1  Целевое назначение:</w:t>
      </w: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 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>На первом этапе – составление проекта (программы) геологоразведочных работ.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>На втором этапе – геологоразведочные работы на основании утвержденных проектных решений.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На третьем этапе – пересчет запасов подземных вод </w:t>
      </w:r>
      <w:proofErr w:type="spellStart"/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 комплекса.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iCs/>
          <w:color w:val="262626"/>
          <w:sz w:val="24"/>
          <w:szCs w:val="24"/>
          <w:lang w:eastAsia="ru-RU"/>
        </w:rPr>
        <w:t>1.2 Пространственные границы: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Тюменская область, Ханты-Мансийский автономный округ, Восточно-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Охтеурское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нефти: 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485" w:type="pct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145"/>
        <w:gridCol w:w="1003"/>
        <w:gridCol w:w="1021"/>
        <w:gridCol w:w="986"/>
        <w:gridCol w:w="888"/>
        <w:gridCol w:w="1125"/>
      </w:tblGrid>
      <w:tr w:rsidR="00BC1694" w:rsidRPr="00BC1694" w:rsidTr="00A1482F">
        <w:tc>
          <w:tcPr>
            <w:tcW w:w="679" w:type="pct"/>
            <w:vMerge w:val="restar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точки</w:t>
            </w:r>
          </w:p>
        </w:tc>
        <w:tc>
          <w:tcPr>
            <w:tcW w:w="2219" w:type="pct"/>
            <w:gridSpan w:val="3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 широта</w:t>
            </w:r>
          </w:p>
        </w:tc>
        <w:tc>
          <w:tcPr>
            <w:tcW w:w="2102" w:type="pct"/>
            <w:gridSpan w:val="3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 долгота</w:t>
            </w:r>
          </w:p>
        </w:tc>
      </w:tr>
      <w:tr w:rsidR="00BC1694" w:rsidRPr="00BC1694" w:rsidTr="00A1482F">
        <w:tc>
          <w:tcPr>
            <w:tcW w:w="679" w:type="pct"/>
            <w:vMerge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градусы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минуты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секунды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градусы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минуты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секунды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C1694" w:rsidRPr="00BC1694" w:rsidTr="00A1482F">
        <w:tc>
          <w:tcPr>
            <w:tcW w:w="679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3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15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91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2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8" w:type="pct"/>
            <w:shd w:val="clear" w:color="auto" w:fill="auto"/>
          </w:tcPr>
          <w:p w:rsidR="00BC1694" w:rsidRPr="00BC1694" w:rsidRDefault="00BC1694" w:rsidP="00BC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</w:tbl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</w:pP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 Основные оценочные параметры:</w:t>
      </w:r>
      <w:r w:rsidRPr="00BC16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</w:t>
      </w: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 состава и объемов работ действующим нормативным правовым актам, стандартам, приказам и распоряжениям МПР РФ и </w:t>
      </w:r>
      <w:proofErr w:type="spellStart"/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Роснедра</w:t>
      </w:r>
      <w:proofErr w:type="spellEnd"/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 в </w:t>
      </w: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lastRenderedPageBreak/>
        <w:t>области геологического изучения и воспроизводства ресурсов и запасов подземных вод, закачки стоков, лицензирования пользования недрами. Перечень нормативных правовых и методических документов, регламентирующих выполнение работ:</w:t>
      </w:r>
    </w:p>
    <w:p w:rsidR="00BC1694" w:rsidRPr="00BC1694" w:rsidRDefault="00BC1694" w:rsidP="00BC1694">
      <w:pPr>
        <w:tabs>
          <w:tab w:val="left" w:pos="0"/>
          <w:tab w:val="left" w:pos="993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-</w:t>
      </w:r>
      <w:r w:rsidRPr="00BC1694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ab/>
      </w: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Инструкция по составлению проектов и смет на геологоразведочные работы (</w:t>
      </w:r>
      <w:proofErr w:type="spellStart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Роскомнедра</w:t>
      </w:r>
      <w:proofErr w:type="spellEnd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, ВИЭМС, 1993 г.).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-</w:t>
      </w:r>
      <w:r w:rsidRPr="00BC1694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ab/>
      </w: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Классификации запасов и прогнозных ресурсов питьевых, технических и минеральных подземных вод. МПР России, 2007 г. (</w:t>
      </w:r>
      <w:proofErr w:type="spellStart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зарег</w:t>
      </w:r>
      <w:proofErr w:type="spellEnd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 в Минюсте РФ 3 сентября 2007 г., №10092);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-</w:t>
      </w: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ab/>
        <w:t>Методические рекомендации по применению Классификации запасов и прогнозных ресурсов питьевых, технических и минеральных подземных вод, утвержденной приказом Министерства природных ресурсов  Российской Федерации от 30.07.2007 г., №195;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-</w:t>
      </w:r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ab/>
        <w:t xml:space="preserve">ОСТ 39-225-88 «Вода для </w:t>
      </w:r>
      <w:proofErr w:type="spellStart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заводнения</w:t>
      </w:r>
      <w:proofErr w:type="spellEnd"/>
      <w:r w:rsidRPr="00BC1694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 xml:space="preserve"> нефтяных пластов. Требования к качеству»;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ГОСТ </w:t>
      </w:r>
      <w:proofErr w:type="gramStart"/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53579-2009 Отчет о геологическом изучении недр. Общие требования …. 2009 г.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ОБЪЕКТ ИЗУЧЕНИЯ: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Апт-альб-сеноманский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водоносный комплекс.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ПРОЕКТНЫЕ ОБЪЕМЫ ДОБЫЧИ: 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Проектные объемы добычи необходимо принять в размере 1250 м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vertAlign w:val="superscript"/>
          <w:lang w:eastAsia="ru-RU"/>
        </w:rPr>
        <w:t>3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/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сут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</w:t>
      </w: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  <w:tab w:val="left" w:pos="567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ОСНОВНЫЕ ГЕОЛОГИЧЕСКИЕ ЗАДАЧИ: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оценка геолого-гидрогеологической изученности </w:t>
      </w:r>
      <w:proofErr w:type="spellStart"/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 водоносного комплекса в районе работ;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оценка имеющейся информации и фактического материала по участку добычи;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изучение фильтрационно-емкостных характеристик водовмещающих отложений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водоносного комплекса на изучаемой территории;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определение гидрогеологических параметров целевого водоносного горизонта;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изучение химического состава подземных вод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водоносного комплекса и оценка их совместимости;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подготовка материалов для оценки запасов подземных вод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комплекса;</w:t>
      </w:r>
    </w:p>
    <w:p w:rsidR="00BC1694" w:rsidRPr="00BC1694" w:rsidRDefault="00BC1694" w:rsidP="00BC1694">
      <w:pPr>
        <w:numPr>
          <w:ilvl w:val="0"/>
          <w:numId w:val="30"/>
        </w:num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оценка запасов подземных вод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комплекса в количестве 1250 м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vertAlign w:val="superscript"/>
          <w:lang w:eastAsia="ru-RU"/>
        </w:rPr>
        <w:t>3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/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сут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по промышленной категории (В</w:t>
      </w:r>
      <w:proofErr w:type="gram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,А</w:t>
      </w:r>
      <w:proofErr w:type="gram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).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ПОСЛЕДОВАТЕЛЬНОСТЬ И ОСНОВНЫЕ МЕТОДЫ РЕШЕНИЯ ГЕОЛОГИЧЕСКИХ ЗАДАЧ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</w:p>
    <w:p w:rsidR="00BC1694" w:rsidRPr="00BC1694" w:rsidRDefault="00BC1694" w:rsidP="00BC1694">
      <w:pPr>
        <w:tabs>
          <w:tab w:val="left" w:pos="0"/>
          <w:tab w:val="left" w:pos="709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  <w:t>Геологические задачи предусматривается решить проведением следующих видов работ в три этапа: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ab/>
        <w:t>Первый этап</w:t>
      </w: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 - разработка и согласование проекта геологоразведочных работ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по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val="x-none" w:eastAsia="ru-RU"/>
        </w:rPr>
        <w:t xml:space="preserve"> изучению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val="x-none"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val="x-none" w:eastAsia="ru-RU"/>
        </w:rPr>
        <w:t xml:space="preserve"> комплекса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val="x-none" w:eastAsia="ru-RU"/>
        </w:rPr>
        <w:t xml:space="preserve">с 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целью </w:t>
      </w:r>
      <w:r w:rsidRPr="00BC1694">
        <w:rPr>
          <w:rFonts w:ascii="Times New Roman" w:eastAsia="Times New Roman" w:hAnsi="Times New Roman" w:cs="Times New Roman"/>
          <w:lang w:eastAsia="ru-RU"/>
        </w:rPr>
        <w:t>поиска и оценки пластов-коллекторов для обоснования возможности добычи подземных технических вод (для системы ППД)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 включая сбор, анализ и обобщение имеющегося фактического материала по участкам и району работ</w:t>
      </w: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. Прохождение </w:t>
      </w:r>
      <w:proofErr w:type="spellStart"/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госгеолэкспертизы</w:t>
      </w:r>
      <w:proofErr w:type="spellEnd"/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 в территориальном органе, в установленном порядке.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При составлении проекта необходимо:</w:t>
      </w:r>
    </w:p>
    <w:p w:rsidR="00BC1694" w:rsidRPr="00BC1694" w:rsidRDefault="00BC1694" w:rsidP="00BC1694">
      <w:pPr>
        <w:numPr>
          <w:ilvl w:val="0"/>
          <w:numId w:val="25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- Представить сведения о геологической изученности объекта.</w:t>
      </w:r>
    </w:p>
    <w:p w:rsidR="00BC1694" w:rsidRPr="00BC1694" w:rsidRDefault="00BC1694" w:rsidP="00BC1694">
      <w:pPr>
        <w:numPr>
          <w:ilvl w:val="0"/>
          <w:numId w:val="25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Представить обобщённую характеристику геологического строения участка.</w:t>
      </w:r>
    </w:p>
    <w:p w:rsidR="00BC1694" w:rsidRPr="00BC1694" w:rsidRDefault="00BC1694" w:rsidP="00BC1694">
      <w:pPr>
        <w:numPr>
          <w:ilvl w:val="0"/>
          <w:numId w:val="25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Представить проектную схему водозаборного участка и систему его обустройства.</w:t>
      </w:r>
    </w:p>
    <w:p w:rsidR="00BC1694" w:rsidRPr="00BC1694" w:rsidRDefault="00BC1694" w:rsidP="00BC1694">
      <w:pPr>
        <w:numPr>
          <w:ilvl w:val="0"/>
          <w:numId w:val="25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Оценить ФЕС эксплуатационного объекта по данным интерпретации материалов ГИС.</w:t>
      </w:r>
    </w:p>
    <w:p w:rsidR="00BC1694" w:rsidRPr="00BC1694" w:rsidRDefault="00BC1694" w:rsidP="00BC1694">
      <w:pPr>
        <w:numPr>
          <w:ilvl w:val="0"/>
          <w:numId w:val="25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Составить программу геологического изучения недр, где предусмотреть следующее:</w:t>
      </w:r>
    </w:p>
    <w:p w:rsidR="00BC1694" w:rsidRPr="00BC1694" w:rsidRDefault="00BC1694" w:rsidP="00BC1694">
      <w:pPr>
        <w:numPr>
          <w:ilvl w:val="0"/>
          <w:numId w:val="28"/>
        </w:numPr>
        <w:tabs>
          <w:tab w:val="left" w:pos="0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геофизические исследования скважин – стандартный и расширенный комплексы;</w:t>
      </w:r>
    </w:p>
    <w:p w:rsidR="00BC1694" w:rsidRPr="00BC1694" w:rsidRDefault="00BC1694" w:rsidP="00BC1694">
      <w:pPr>
        <w:numPr>
          <w:ilvl w:val="0"/>
          <w:numId w:val="28"/>
        </w:numPr>
        <w:tabs>
          <w:tab w:val="left" w:pos="0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гидрогеохимические исследования – физико-химические анализы подземных вод;</w:t>
      </w:r>
    </w:p>
    <w:p w:rsidR="00BC1694" w:rsidRPr="00BC1694" w:rsidRDefault="00BC1694" w:rsidP="00BC1694">
      <w:pPr>
        <w:numPr>
          <w:ilvl w:val="0"/>
          <w:numId w:val="28"/>
        </w:numPr>
        <w:tabs>
          <w:tab w:val="left" w:pos="0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гидродинамические исследования водозаборных скважин;</w:t>
      </w:r>
    </w:p>
    <w:p w:rsidR="00BC1694" w:rsidRPr="00BC1694" w:rsidRDefault="00BC1694" w:rsidP="00BC1694">
      <w:pPr>
        <w:numPr>
          <w:ilvl w:val="0"/>
          <w:numId w:val="28"/>
        </w:numPr>
        <w:tabs>
          <w:tab w:val="left" w:pos="0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ведение гидрогеологического мониторинга на участке добычи;</w:t>
      </w:r>
    </w:p>
    <w:p w:rsidR="00BC1694" w:rsidRPr="00BC1694" w:rsidRDefault="00BC1694" w:rsidP="00BC1694">
      <w:pPr>
        <w:numPr>
          <w:ilvl w:val="0"/>
          <w:numId w:val="28"/>
        </w:numPr>
        <w:tabs>
          <w:tab w:val="left" w:pos="0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обобщение и интерпретация материалов исследований;</w:t>
      </w:r>
    </w:p>
    <w:p w:rsidR="00BC1694" w:rsidRPr="00BC1694" w:rsidRDefault="00BC1694" w:rsidP="00BC1694">
      <w:pPr>
        <w:numPr>
          <w:ilvl w:val="0"/>
          <w:numId w:val="26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Выполнить сметно-финансовые расчеты затрат на реализацию проекта.</w:t>
      </w:r>
    </w:p>
    <w:p w:rsidR="00BC1694" w:rsidRPr="00BC1694" w:rsidRDefault="00BC1694" w:rsidP="00BC1694">
      <w:pPr>
        <w:numPr>
          <w:ilvl w:val="0"/>
          <w:numId w:val="26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lastRenderedPageBreak/>
        <w:t>Предусмотреть мероприятия по охране недр.</w:t>
      </w:r>
    </w:p>
    <w:p w:rsidR="00BC1694" w:rsidRPr="00BC1694" w:rsidRDefault="00BC1694" w:rsidP="00BC1694">
      <w:pPr>
        <w:numPr>
          <w:ilvl w:val="0"/>
          <w:numId w:val="26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Предусмотреть мероприятия по обеспечению промышленной безопасности.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Второй этап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– Проведение полевых работ, в том числе:</w:t>
      </w:r>
    </w:p>
    <w:p w:rsidR="00BC1694" w:rsidRPr="00BC1694" w:rsidRDefault="00BC1694" w:rsidP="00BC1694">
      <w:pPr>
        <w:numPr>
          <w:ilvl w:val="0"/>
          <w:numId w:val="27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геофизические исследования скважин – каротаж в обсаженном стволе водозаборной скважины;</w:t>
      </w:r>
    </w:p>
    <w:p w:rsidR="00BC1694" w:rsidRPr="00BC1694" w:rsidRDefault="00BC1694" w:rsidP="00BC1694">
      <w:pPr>
        <w:numPr>
          <w:ilvl w:val="0"/>
          <w:numId w:val="27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опытно-фильтрационные работы (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гидропрослушивание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);</w:t>
      </w:r>
    </w:p>
    <w:p w:rsidR="00BC1694" w:rsidRPr="00BC1694" w:rsidRDefault="00BC1694" w:rsidP="00BC1694">
      <w:pPr>
        <w:numPr>
          <w:ilvl w:val="0"/>
          <w:numId w:val="27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геохимические исследования – физико-химический анализ воды;</w:t>
      </w:r>
    </w:p>
    <w:p w:rsidR="00BC1694" w:rsidRPr="00BC1694" w:rsidRDefault="00BC1694" w:rsidP="00BC1694">
      <w:pPr>
        <w:numPr>
          <w:ilvl w:val="0"/>
          <w:numId w:val="27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гидродинамические исследования водозаборных скважин;</w:t>
      </w:r>
    </w:p>
    <w:p w:rsidR="00BC1694" w:rsidRPr="00BC1694" w:rsidRDefault="00BC1694" w:rsidP="00BC1694">
      <w:pPr>
        <w:numPr>
          <w:ilvl w:val="0"/>
          <w:numId w:val="27"/>
        </w:numPr>
        <w:tabs>
          <w:tab w:val="left" w:pos="0"/>
        </w:tabs>
        <w:spacing w:after="0" w:line="216" w:lineRule="auto"/>
        <w:ind w:left="0" w:firstLine="284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лабораторные исследования проб воды.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Третий этап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– составление отчета по подсчету запасов подземных вод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комплекса по Восточно-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Охтеурскому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месторождению нефти в объеме 1250 м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vertAlign w:val="superscript"/>
          <w:lang w:eastAsia="ru-RU"/>
        </w:rPr>
        <w:t>3</w:t>
      </w: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/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сут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 по категории</w:t>
      </w:r>
      <w:proofErr w:type="gram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В</w:t>
      </w:r>
      <w:proofErr w:type="gram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 А.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  <w:t xml:space="preserve">Геологический отчет представляется Заказчику. После принятия отчетных материалов по объекту Заказчиком, геологический отчет с подсчетом запасов подземных вод направляется на государственную экспертизу в порядке, определенном </w:t>
      </w:r>
      <w:proofErr w:type="spellStart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Роснедра</w:t>
      </w:r>
      <w:proofErr w:type="spellEnd"/>
      <w:r w:rsidRPr="00BC1694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на момент представления материалов.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BC16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РЕЗУЛЬТАТЫ РАБОТ:</w:t>
      </w:r>
      <w:r w:rsidRPr="00BC16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выполненных работ должны быть:</w:t>
      </w:r>
    </w:p>
    <w:p w:rsidR="00BC1694" w:rsidRPr="00BC1694" w:rsidRDefault="00BC1694" w:rsidP="00BC1694">
      <w:pPr>
        <w:tabs>
          <w:tab w:val="left" w:pos="792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подготовлен и согласован «Проект на геологическое изучение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Охтеурском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нефти»,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прошедший государственную геологическую экспертизу в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порядке.</w:t>
      </w:r>
    </w:p>
    <w:p w:rsidR="00BC1694" w:rsidRPr="00BC1694" w:rsidRDefault="00BC1694" w:rsidP="00BC1694">
      <w:pPr>
        <w:tabs>
          <w:tab w:val="left" w:pos="993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– получены данные по химическому составу подземных вод и фильтрационно-емкостным характеристикам водовмещающих отложений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водоносного комплекса на территории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Восточно-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Охтеурского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необходимые для оценки запасов подземных вод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комплекса в объеме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1250 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м</w:t>
      </w:r>
      <w:r w:rsidRPr="00BC1694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ru-RU"/>
        </w:rPr>
        <w:t>3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/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сут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.</w:t>
      </w:r>
      <w:proofErr w:type="gramEnd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категории (В, А)</w:t>
      </w:r>
    </w:p>
    <w:p w:rsidR="00BC1694" w:rsidRPr="00BC1694" w:rsidRDefault="00BC1694" w:rsidP="00BC1694">
      <w:pPr>
        <w:tabs>
          <w:tab w:val="left" w:pos="993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– подсчитаны и утверждены запасы подземных вод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апт-альб-сеноманского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водоносного комплекса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Восточно-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Охтеурском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промышленной 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категории 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</w:t>
      </w:r>
      <w:proofErr w:type="gram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,А</w:t>
      </w:r>
      <w:proofErr w:type="gram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C169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в заявленном количестве.</w:t>
      </w:r>
    </w:p>
    <w:p w:rsidR="00BC1694" w:rsidRPr="00BC1694" w:rsidRDefault="00BC1694" w:rsidP="00BC1694">
      <w:pPr>
        <w:tabs>
          <w:tab w:val="left" w:pos="993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ТРЕБОВАНИЯ К ОТЧЕТНОЙ ДОКУМЕНТАЦИИ: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1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оформляется в виде проекта, включающего программу геологического изучения недр.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оформляется в виде ежегодных пояснительных записок (согласно требованиям </w:t>
      </w:r>
      <w:proofErr w:type="spellStart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недропользователя</w:t>
      </w:r>
      <w:proofErr w:type="spell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содержащих информацию о выполненных работах в виде актов выполненных исследований, журналов учета работы скважин, актов отбора проб воды и т.п.</w:t>
      </w:r>
      <w:proofErr w:type="gramEnd"/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оформляется в виде итогового отчета геологической информации в соответствии с «Требованиями к составу и правилам оформления представляемых на государственную экспертизу материалов по подсчету запасов питьевых, технических и минеральных подземных вод», ГОСТу 53579-2009 «Отчет о геологическом изучении недр.</w:t>
      </w:r>
      <w:proofErr w:type="gramEnd"/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требования к содержанию и оформлению».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I</w:t>
      </w:r>
      <w:r w:rsidRPr="00BC169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этап:</w:t>
      </w:r>
      <w:r w:rsidRPr="00BC16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составления проекта в период с 01.09.2016 г. по 31.01.2017 г.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этап: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полевых работ с 01.02.2017 по 31.01.2020 г.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C1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этап:</w:t>
      </w: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пересчет запасов с 01.01.2020 по 31.12.2020 гг.</w:t>
      </w:r>
    </w:p>
    <w:p w:rsidR="00BC1694" w:rsidRPr="00BC1694" w:rsidRDefault="00BC1694" w:rsidP="00BC16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694" w:rsidRPr="00BC1694" w:rsidRDefault="00BC1694" w:rsidP="00BC1694">
      <w:pPr>
        <w:numPr>
          <w:ilvl w:val="0"/>
          <w:numId w:val="29"/>
        </w:num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694">
        <w:rPr>
          <w:rFonts w:ascii="Times New Roman" w:eastAsia="Times New Roman" w:hAnsi="Times New Roman" w:cs="Times New Roman"/>
          <w:b/>
          <w:bCs/>
          <w:lang w:eastAsia="ru-RU"/>
        </w:rPr>
        <w:t xml:space="preserve">Рассылка материалов на </w:t>
      </w:r>
      <w:r w:rsidRPr="00BC1694">
        <w:rPr>
          <w:rFonts w:ascii="Times New Roman" w:eastAsia="Times New Roman" w:hAnsi="Times New Roman" w:cs="Times New Roman"/>
          <w:b/>
          <w:bCs/>
          <w:lang w:val="en-US" w:eastAsia="ru-RU"/>
        </w:rPr>
        <w:t>I</w:t>
      </w:r>
      <w:r w:rsidRPr="00BC1694">
        <w:rPr>
          <w:rFonts w:ascii="Times New Roman" w:eastAsia="Times New Roman" w:hAnsi="Times New Roman" w:cs="Times New Roman"/>
          <w:b/>
          <w:bCs/>
          <w:lang w:eastAsia="ru-RU"/>
        </w:rPr>
        <w:t xml:space="preserve"> этапе: </w:t>
      </w:r>
      <w:r w:rsidRPr="00BC1694">
        <w:rPr>
          <w:rFonts w:ascii="Times New Roman" w:eastAsia="Times New Roman" w:hAnsi="Times New Roman" w:cs="Times New Roman"/>
          <w:bCs/>
          <w:lang w:eastAsia="ru-RU"/>
        </w:rPr>
        <w:t>Организация-заказчик (1 экз.), Организация-исполнитель(1 экз.).</w:t>
      </w:r>
      <w:r w:rsidRPr="00BC169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C1694">
        <w:rPr>
          <w:rFonts w:ascii="Times New Roman" w:eastAsia="Times New Roman" w:hAnsi="Times New Roman" w:cs="Times New Roman"/>
          <w:bCs/>
          <w:lang w:eastAsia="ru-RU"/>
        </w:rPr>
        <w:t>Экспертное заключение передается Заказчику в оригинале на бумажном носителе.</w:t>
      </w:r>
    </w:p>
    <w:p w:rsidR="00BC1694" w:rsidRPr="00BC1694" w:rsidRDefault="00BC1694" w:rsidP="00BC1694">
      <w:pPr>
        <w:tabs>
          <w:tab w:val="left" w:pos="0"/>
        </w:tabs>
        <w:spacing w:after="0" w:line="21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C1694"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Pr="00BC1694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BC1694"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r w:rsidRPr="00BC1694">
        <w:rPr>
          <w:rFonts w:ascii="Times New Roman" w:eastAsia="Times New Roman" w:hAnsi="Times New Roman" w:cs="Times New Roman"/>
          <w:b/>
          <w:lang w:val="en-US" w:eastAsia="ru-RU"/>
        </w:rPr>
        <w:t>III</w:t>
      </w:r>
      <w:r w:rsidRPr="00BC1694">
        <w:rPr>
          <w:rFonts w:ascii="Times New Roman" w:eastAsia="Times New Roman" w:hAnsi="Times New Roman" w:cs="Times New Roman"/>
          <w:b/>
          <w:lang w:eastAsia="ru-RU"/>
        </w:rPr>
        <w:t xml:space="preserve"> этапах: </w:t>
      </w:r>
      <w:r w:rsidRPr="00BC1694">
        <w:rPr>
          <w:rFonts w:ascii="Times New Roman" w:eastAsia="Times New Roman" w:hAnsi="Times New Roman" w:cs="Times New Roman"/>
          <w:lang w:eastAsia="ru-RU"/>
        </w:rPr>
        <w:t>Уточняется на этапе реализации.</w:t>
      </w:r>
    </w:p>
    <w:p w:rsidR="00BC1694" w:rsidRPr="00BC1694" w:rsidRDefault="00BC1694" w:rsidP="00BC1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694" w:rsidRPr="00BC1694" w:rsidRDefault="00BC1694" w:rsidP="00BC1694">
      <w:pPr>
        <w:tabs>
          <w:tab w:val="left" w:pos="851"/>
        </w:tabs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*По настоящему Техническому заданию Исполнитель выполняет только первый этап работ, заключающийся в </w:t>
      </w:r>
      <w:r w:rsidRPr="00BC16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составления проекта </w:t>
      </w:r>
      <w:r w:rsidRPr="00BC1694">
        <w:rPr>
          <w:rFonts w:ascii="Times New Roman" w:eastAsia="Times New Roman" w:hAnsi="Times New Roman" w:cs="Times New Roman"/>
          <w:bCs/>
          <w:iCs/>
          <w:color w:val="262626"/>
          <w:sz w:val="24"/>
          <w:szCs w:val="24"/>
          <w:lang w:eastAsia="ru-RU"/>
        </w:rPr>
        <w:t xml:space="preserve">геологоразведочных работ </w:t>
      </w:r>
      <w:r w:rsidRPr="00BC16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период с </w:t>
      </w:r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>01.09.2016г.</w:t>
      </w:r>
      <w:r w:rsidRPr="00BC16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r w:rsidRPr="00BC1694">
        <w:rPr>
          <w:rFonts w:ascii="Times New Roman" w:eastAsia="Times New Roman" w:hAnsi="Times New Roman" w:cs="Times New Roman"/>
          <w:snapToGrid w:val="0"/>
          <w:lang w:eastAsia="ru-RU"/>
        </w:rPr>
        <w:t>31.01.2017г.</w:t>
      </w:r>
    </w:p>
    <w:p w:rsidR="00614227" w:rsidRPr="002E2853" w:rsidRDefault="00614227" w:rsidP="00614227">
      <w:pPr>
        <w:tabs>
          <w:tab w:val="left" w:pos="0"/>
        </w:tabs>
        <w:spacing w:after="0" w:line="480" w:lineRule="auto"/>
        <w:ind w:left="76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0"/>
        <w:gridCol w:w="20"/>
        <w:gridCol w:w="30"/>
        <w:gridCol w:w="4842"/>
      </w:tblGrid>
      <w:tr w:rsidR="002E2853" w:rsidRPr="00A972AE" w:rsidTr="00614227">
        <w:trPr>
          <w:trHeight w:val="523"/>
        </w:trPr>
        <w:tc>
          <w:tcPr>
            <w:tcW w:w="5020" w:type="dxa"/>
          </w:tcPr>
          <w:p w:rsidR="002E2853" w:rsidRPr="0034010E" w:rsidRDefault="002E2853" w:rsidP="00614227">
            <w:pPr>
              <w:pStyle w:val="af4"/>
              <w:spacing w:after="0" w:line="480" w:lineRule="auto"/>
              <w:ind w:left="671" w:right="-1"/>
              <w:rPr>
                <w:rFonts w:ascii="Times New Roman" w:hAnsi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0" w:type="dxa"/>
          </w:tcPr>
          <w:p w:rsidR="002E2853" w:rsidRPr="00A972AE" w:rsidRDefault="002E2853" w:rsidP="00874A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2E2853" w:rsidRPr="00A972AE" w:rsidRDefault="002E2853" w:rsidP="00614227">
            <w:pPr>
              <w:spacing w:after="0" w:line="480" w:lineRule="auto"/>
              <w:ind w:left="399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10E" w:rsidRPr="00A972AE" w:rsidTr="00614227">
        <w:trPr>
          <w:trHeight w:val="523"/>
        </w:trPr>
        <w:tc>
          <w:tcPr>
            <w:tcW w:w="5020" w:type="dxa"/>
          </w:tcPr>
          <w:p w:rsidR="0034010E" w:rsidRDefault="0034010E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5779C4" w:rsidRPr="00A972AE" w:rsidRDefault="005779C4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34010E" w:rsidRDefault="0034010E" w:rsidP="007F79CF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7F79CF" w:rsidRDefault="007F79CF" w:rsidP="007F79CF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7F79CF" w:rsidRPr="00A972AE" w:rsidRDefault="007F79CF" w:rsidP="007F79CF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7F79CF" w:rsidRDefault="007F79CF" w:rsidP="007F79CF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E4C4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779C4" w:rsidRPr="00A972AE" w:rsidRDefault="005779C4" w:rsidP="007F79CF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34010E" w:rsidRPr="00A972AE" w:rsidRDefault="0034010E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34010E" w:rsidRPr="00A972AE" w:rsidRDefault="0034010E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7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5779C4" w:rsidRPr="00A972AE" w:rsidRDefault="005779C4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34010E" w:rsidRDefault="005779C4" w:rsidP="007F79CF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highlight w:val="lightGray"/>
                <w:lang w:eastAsia="ru-RU"/>
              </w:rPr>
              <w:t>_________________________</w:t>
            </w:r>
          </w:p>
          <w:p w:rsidR="007F79CF" w:rsidRDefault="007F79CF" w:rsidP="007F79CF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7F79CF" w:rsidRPr="00A972AE" w:rsidRDefault="007F79CF" w:rsidP="007F79CF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_______________   </w:t>
            </w:r>
            <w:r w:rsidRPr="005779C4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highlight w:val="lightGray"/>
                <w:lang w:eastAsia="ru-RU"/>
              </w:rPr>
              <w:t>_____________</w:t>
            </w:r>
          </w:p>
          <w:p w:rsidR="007F79CF" w:rsidRPr="005E4C43" w:rsidRDefault="007F79CF" w:rsidP="007F79CF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5E4C4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E4C43" w:rsidRPr="00A972AE" w:rsidRDefault="005E4C43" w:rsidP="007F79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10E" w:rsidRPr="00A972AE" w:rsidTr="00614227">
        <w:trPr>
          <w:trHeight w:val="304"/>
        </w:trPr>
        <w:tc>
          <w:tcPr>
            <w:tcW w:w="5020" w:type="dxa"/>
            <w:vAlign w:val="center"/>
          </w:tcPr>
          <w:p w:rsidR="0034010E" w:rsidRPr="005E4C43" w:rsidRDefault="0034010E" w:rsidP="005E4C43">
            <w:pPr>
              <w:spacing w:after="12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</w:tcPr>
          <w:p w:rsidR="0034010E" w:rsidRPr="00A972AE" w:rsidRDefault="0034010E" w:rsidP="0010007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34010E" w:rsidRPr="005E4C43" w:rsidRDefault="0034010E" w:rsidP="005E4C4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2853" w:rsidRPr="00A972AE" w:rsidTr="00614227">
        <w:trPr>
          <w:trHeight w:val="304"/>
        </w:trPr>
        <w:tc>
          <w:tcPr>
            <w:tcW w:w="5020" w:type="dxa"/>
            <w:vAlign w:val="center"/>
          </w:tcPr>
          <w:p w:rsidR="002E2853" w:rsidRPr="00A972AE" w:rsidRDefault="002E2853" w:rsidP="00100070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</w:tcPr>
          <w:p w:rsidR="002E2853" w:rsidRPr="00A972AE" w:rsidRDefault="002E2853" w:rsidP="0010007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2E2853" w:rsidRPr="00A972AE" w:rsidRDefault="002E2853" w:rsidP="00100070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</w:tc>
      </w:tr>
    </w:tbl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sectPr w:rsidR="00614227" w:rsidSect="00C92FB8">
      <w:footerReference w:type="even" r:id="rId8"/>
      <w:footerReference w:type="default" r:id="rId9"/>
      <w:headerReference w:type="first" r:id="rId10"/>
      <w:pgSz w:w="11906" w:h="16838" w:code="9"/>
      <w:pgMar w:top="1276" w:right="748" w:bottom="1276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B3" w:rsidRDefault="00597BB3">
      <w:pPr>
        <w:spacing w:after="0" w:line="240" w:lineRule="auto"/>
      </w:pPr>
      <w:r>
        <w:separator/>
      </w:r>
    </w:p>
  </w:endnote>
  <w:endnote w:type="continuationSeparator" w:id="0">
    <w:p w:rsidR="00597BB3" w:rsidRDefault="0059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 w:rsidP="00357F1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11B0E" w:rsidRDefault="00597BB3" w:rsidP="00495C3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44" w:rsidRDefault="00E57A92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1694">
      <w:rPr>
        <w:noProof/>
      </w:rPr>
      <w:t>4</w:t>
    </w:r>
    <w:r>
      <w:fldChar w:fldCharType="end"/>
    </w:r>
  </w:p>
  <w:p w:rsidR="00811B0E" w:rsidRDefault="00597BB3" w:rsidP="00495C3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B3" w:rsidRDefault="00597BB3">
      <w:pPr>
        <w:spacing w:after="0" w:line="240" w:lineRule="auto"/>
      </w:pPr>
      <w:r>
        <w:separator/>
      </w:r>
    </w:p>
  </w:footnote>
  <w:footnote w:type="continuationSeparator" w:id="0">
    <w:p w:rsidR="00597BB3" w:rsidRDefault="00597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>
    <w:pPr>
      <w:pStyle w:val="a3"/>
    </w:pPr>
    <w:r>
      <w:tab/>
    </w:r>
  </w:p>
  <w:p w:rsidR="00811B0E" w:rsidRDefault="00597BB3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2FA6839"/>
    <w:multiLevelType w:val="hybridMultilevel"/>
    <w:tmpl w:val="EA80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6">
    <w:nsid w:val="11021AD2"/>
    <w:multiLevelType w:val="hybridMultilevel"/>
    <w:tmpl w:val="29BC54C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>
    <w:nsid w:val="127F3B36"/>
    <w:multiLevelType w:val="multilevel"/>
    <w:tmpl w:val="3E686B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5B3F5C"/>
    <w:multiLevelType w:val="multilevel"/>
    <w:tmpl w:val="8E20C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2626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2626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2626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262626"/>
      </w:rPr>
    </w:lvl>
  </w:abstractNum>
  <w:abstractNum w:abstractNumId="11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FB95631"/>
    <w:multiLevelType w:val="multilevel"/>
    <w:tmpl w:val="0B76F7A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2626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2626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2626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2626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262626"/>
      </w:rPr>
    </w:lvl>
  </w:abstractNum>
  <w:abstractNum w:abstractNumId="13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4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21440B4"/>
    <w:multiLevelType w:val="hybridMultilevel"/>
    <w:tmpl w:val="F94A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AA0220"/>
    <w:multiLevelType w:val="hybridMultilevel"/>
    <w:tmpl w:val="77DEFA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783DCB"/>
    <w:multiLevelType w:val="hybridMultilevel"/>
    <w:tmpl w:val="C46CE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21">
    <w:nsid w:val="57DF4143"/>
    <w:multiLevelType w:val="hybridMultilevel"/>
    <w:tmpl w:val="C70E1682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972E1"/>
    <w:multiLevelType w:val="hybridMultilevel"/>
    <w:tmpl w:val="DDE8B9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2BB4C46"/>
    <w:multiLevelType w:val="hybridMultilevel"/>
    <w:tmpl w:val="B7C8E9E0"/>
    <w:lvl w:ilvl="0" w:tplc="F4364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27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17"/>
  </w:num>
  <w:num w:numId="10">
    <w:abstractNumId w:val="11"/>
  </w:num>
  <w:num w:numId="11">
    <w:abstractNumId w:val="14"/>
  </w:num>
  <w:num w:numId="12">
    <w:abstractNumId w:val="9"/>
  </w:num>
  <w:num w:numId="13">
    <w:abstractNumId w:val="29"/>
  </w:num>
  <w:num w:numId="14">
    <w:abstractNumId w:val="19"/>
  </w:num>
  <w:num w:numId="15">
    <w:abstractNumId w:val="25"/>
  </w:num>
  <w:num w:numId="16">
    <w:abstractNumId w:val="15"/>
  </w:num>
  <w:num w:numId="17">
    <w:abstractNumId w:val="7"/>
  </w:num>
  <w:num w:numId="18">
    <w:abstractNumId w:val="3"/>
  </w:num>
  <w:num w:numId="19">
    <w:abstractNumId w:val="20"/>
  </w:num>
  <w:num w:numId="20">
    <w:abstractNumId w:val="24"/>
  </w:num>
  <w:num w:numId="21">
    <w:abstractNumId w:val="21"/>
  </w:num>
  <w:num w:numId="22">
    <w:abstractNumId w:val="23"/>
  </w:num>
  <w:num w:numId="23">
    <w:abstractNumId w:val="28"/>
  </w:num>
  <w:num w:numId="24">
    <w:abstractNumId w:val="26"/>
  </w:num>
  <w:num w:numId="25">
    <w:abstractNumId w:val="18"/>
  </w:num>
  <w:num w:numId="26">
    <w:abstractNumId w:val="22"/>
  </w:num>
  <w:num w:numId="27">
    <w:abstractNumId w:val="16"/>
  </w:num>
  <w:num w:numId="28">
    <w:abstractNumId w:val="6"/>
  </w:num>
  <w:num w:numId="29">
    <w:abstractNumId w:val="1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56262"/>
    <w:rsid w:val="000732D8"/>
    <w:rsid w:val="00085C02"/>
    <w:rsid w:val="000C2953"/>
    <w:rsid w:val="000E19B7"/>
    <w:rsid w:val="000F77B2"/>
    <w:rsid w:val="00124566"/>
    <w:rsid w:val="001508ED"/>
    <w:rsid w:val="001802D8"/>
    <w:rsid w:val="001A24AD"/>
    <w:rsid w:val="001B7631"/>
    <w:rsid w:val="001C7D5D"/>
    <w:rsid w:val="001E2576"/>
    <w:rsid w:val="001E46D3"/>
    <w:rsid w:val="001E75E1"/>
    <w:rsid w:val="0023770F"/>
    <w:rsid w:val="00240A87"/>
    <w:rsid w:val="002B67D7"/>
    <w:rsid w:val="002D7878"/>
    <w:rsid w:val="002E2853"/>
    <w:rsid w:val="002F2021"/>
    <w:rsid w:val="003160FC"/>
    <w:rsid w:val="003254C8"/>
    <w:rsid w:val="0034010E"/>
    <w:rsid w:val="0034662E"/>
    <w:rsid w:val="003532ED"/>
    <w:rsid w:val="003735D6"/>
    <w:rsid w:val="00395210"/>
    <w:rsid w:val="0039714D"/>
    <w:rsid w:val="003A52DB"/>
    <w:rsid w:val="004260D7"/>
    <w:rsid w:val="00434424"/>
    <w:rsid w:val="004424E0"/>
    <w:rsid w:val="00446F15"/>
    <w:rsid w:val="00466FAC"/>
    <w:rsid w:val="0048662D"/>
    <w:rsid w:val="004B4EA8"/>
    <w:rsid w:val="004D4A25"/>
    <w:rsid w:val="00535737"/>
    <w:rsid w:val="00537B6C"/>
    <w:rsid w:val="00544580"/>
    <w:rsid w:val="005475F9"/>
    <w:rsid w:val="005705DE"/>
    <w:rsid w:val="00570ED7"/>
    <w:rsid w:val="00571F18"/>
    <w:rsid w:val="005779C4"/>
    <w:rsid w:val="005969D8"/>
    <w:rsid w:val="00597BB3"/>
    <w:rsid w:val="005C277B"/>
    <w:rsid w:val="005C6786"/>
    <w:rsid w:val="005E4C43"/>
    <w:rsid w:val="00614227"/>
    <w:rsid w:val="00660DE4"/>
    <w:rsid w:val="0066711F"/>
    <w:rsid w:val="006D7EB7"/>
    <w:rsid w:val="006F1AD4"/>
    <w:rsid w:val="006F48E4"/>
    <w:rsid w:val="0073114C"/>
    <w:rsid w:val="007677F4"/>
    <w:rsid w:val="00771A3F"/>
    <w:rsid w:val="00784205"/>
    <w:rsid w:val="0078616D"/>
    <w:rsid w:val="007A47C6"/>
    <w:rsid w:val="007D3CA8"/>
    <w:rsid w:val="007F79CF"/>
    <w:rsid w:val="00840AFF"/>
    <w:rsid w:val="00874A39"/>
    <w:rsid w:val="00897DFD"/>
    <w:rsid w:val="008A3183"/>
    <w:rsid w:val="008D226E"/>
    <w:rsid w:val="008F47E0"/>
    <w:rsid w:val="00A13439"/>
    <w:rsid w:val="00A253F3"/>
    <w:rsid w:val="00A261B8"/>
    <w:rsid w:val="00A972AE"/>
    <w:rsid w:val="00AA02ED"/>
    <w:rsid w:val="00AA4823"/>
    <w:rsid w:val="00AA5543"/>
    <w:rsid w:val="00B0237C"/>
    <w:rsid w:val="00B04B95"/>
    <w:rsid w:val="00B229B4"/>
    <w:rsid w:val="00B63D92"/>
    <w:rsid w:val="00BA13C9"/>
    <w:rsid w:val="00BA2CF7"/>
    <w:rsid w:val="00BC1694"/>
    <w:rsid w:val="00BE01A4"/>
    <w:rsid w:val="00C0204F"/>
    <w:rsid w:val="00C2197E"/>
    <w:rsid w:val="00C45349"/>
    <w:rsid w:val="00C52538"/>
    <w:rsid w:val="00C53164"/>
    <w:rsid w:val="00C62890"/>
    <w:rsid w:val="00C92FB8"/>
    <w:rsid w:val="00CE7A12"/>
    <w:rsid w:val="00D07449"/>
    <w:rsid w:val="00D15E25"/>
    <w:rsid w:val="00D42DBF"/>
    <w:rsid w:val="00D47AB8"/>
    <w:rsid w:val="00DE67C9"/>
    <w:rsid w:val="00E27F08"/>
    <w:rsid w:val="00E34305"/>
    <w:rsid w:val="00E563E2"/>
    <w:rsid w:val="00E57A92"/>
    <w:rsid w:val="00E62009"/>
    <w:rsid w:val="00EA4A1B"/>
    <w:rsid w:val="00F81AA0"/>
    <w:rsid w:val="00FA5431"/>
    <w:rsid w:val="00FA79A7"/>
    <w:rsid w:val="00FA7EBF"/>
    <w:rsid w:val="00FE5D5A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Анастасия Сергеевна Холостова</cp:lastModifiedBy>
  <cp:revision>4</cp:revision>
  <dcterms:created xsi:type="dcterms:W3CDTF">2015-07-14T03:15:00Z</dcterms:created>
  <dcterms:modified xsi:type="dcterms:W3CDTF">2016-04-22T10:47:00Z</dcterms:modified>
</cp:coreProperties>
</file>