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417494767" w:edGrp="everyone"/>
      <w:permEnd w:id="1417494767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8E5E1E" w:rsidRPr="008E5E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Северо-Островного месторождения нефти. Высоконапорный водовод т.вр.к.115-к.115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8E5E1E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E5E1E" w:rsidRPr="008E5E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Северо-Островного месторождения нефти. Высоконапорный водовод т.вр.к.115-к.115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6A0049" w:rsidRPr="006A0049" w:rsidRDefault="006A0049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6A0049" w:rsidRPr="006A0049" w:rsidRDefault="006A0049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6A0049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6A0049">
        <w:rPr>
          <w:rFonts w:ascii="Times New Roman" w:hAnsi="Times New Roman"/>
          <w:sz w:val="24"/>
        </w:rPr>
        <w:t xml:space="preserve">согласно </w:t>
      </w:r>
      <w:r w:rsidRPr="006A0049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6A0049">
        <w:rPr>
          <w:rFonts w:ascii="Times New Roman" w:hAnsi="Times New Roman"/>
          <w:sz w:val="24"/>
          <w:highlight w:val="lightGray"/>
        </w:rPr>
        <w:t xml:space="preserve"> _7_</w:t>
      </w:r>
      <w:r w:rsidRPr="006A0049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6A0049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0049" w:rsidRPr="006A0049">
        <w:rPr>
          <w:rFonts w:ascii="Times New Roman" w:hAnsi="Times New Roman"/>
          <w:sz w:val="24"/>
          <w:szCs w:val="24"/>
        </w:rPr>
        <w:t xml:space="preserve"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="006A0049" w:rsidRPr="006A0049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="006A0049" w:rsidRPr="006A0049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6A0049" w:rsidRDefault="006A0049" w:rsidP="006A0049">
      <w:pPr>
        <w:pStyle w:val="aa"/>
        <w:numPr>
          <w:ilvl w:val="0"/>
          <w:numId w:val="16"/>
        </w:numPr>
        <w:spacing w:after="0" w:line="240" w:lineRule="auto"/>
        <w:ind w:firstLine="6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6A0049" w:rsidP="006A0049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10.8.</w:t>
      </w: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обязуются соблюдать Антикоррупционную оговорку (Приложение №6).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АКБ «ЕВРОФИНАНС </w:t>
            </w: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307" w:rsidRDefault="00AA7307" w:rsidP="001F0FBC">
      <w:pPr>
        <w:spacing w:after="0" w:line="240" w:lineRule="auto"/>
      </w:pPr>
      <w:r>
        <w:separator/>
      </w:r>
    </w:p>
  </w:endnote>
  <w:endnote w:type="continuationSeparator" w:id="0">
    <w:p w:rsidR="00AA7307" w:rsidRDefault="00AA7307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E1E">
          <w:rPr>
            <w:noProof/>
          </w:rPr>
          <w:t>6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307" w:rsidRDefault="00AA7307" w:rsidP="001F0FBC">
      <w:pPr>
        <w:spacing w:after="0" w:line="240" w:lineRule="auto"/>
      </w:pPr>
      <w:r>
        <w:separator/>
      </w:r>
    </w:p>
  </w:footnote>
  <w:footnote w:type="continuationSeparator" w:id="0">
    <w:p w:rsidR="00AA7307" w:rsidRDefault="00AA7307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755CB"/>
    <w:rsid w:val="0059137A"/>
    <w:rsid w:val="005B393A"/>
    <w:rsid w:val="005B652F"/>
    <w:rsid w:val="005C41F8"/>
    <w:rsid w:val="005C5CC2"/>
    <w:rsid w:val="005E7B9B"/>
    <w:rsid w:val="00621613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86568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E5E1E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A033CB"/>
    <w:rsid w:val="00A12D97"/>
    <w:rsid w:val="00A13534"/>
    <w:rsid w:val="00A1780F"/>
    <w:rsid w:val="00A21AC8"/>
    <w:rsid w:val="00A24775"/>
    <w:rsid w:val="00A8418C"/>
    <w:rsid w:val="00AA7307"/>
    <w:rsid w:val="00AC0674"/>
    <w:rsid w:val="00B25A3F"/>
    <w:rsid w:val="00B369AB"/>
    <w:rsid w:val="00B56488"/>
    <w:rsid w:val="00B60624"/>
    <w:rsid w:val="00B656BC"/>
    <w:rsid w:val="00B90A4A"/>
    <w:rsid w:val="00BA5393"/>
    <w:rsid w:val="00BA7DE3"/>
    <w:rsid w:val="00BB0A87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C626D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9AB3B-793A-40D3-A06B-02C113449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10957</Words>
  <Characters>62458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50</cp:revision>
  <dcterms:created xsi:type="dcterms:W3CDTF">2015-06-11T05:58:00Z</dcterms:created>
  <dcterms:modified xsi:type="dcterms:W3CDTF">2016-01-18T08:07:00Z</dcterms:modified>
</cp:coreProperties>
</file>