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392"/>
        <w:tblW w:w="4503" w:type="dxa"/>
        <w:shd w:val="pct12" w:color="auto" w:fill="auto"/>
        <w:tblLayout w:type="fixed"/>
        <w:tblLook w:val="01E0" w:firstRow="1" w:lastRow="1" w:firstColumn="1" w:lastColumn="1" w:noHBand="0" w:noVBand="0"/>
      </w:tblPr>
      <w:tblGrid>
        <w:gridCol w:w="4503"/>
      </w:tblGrid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 xml:space="preserve">Приложение № </w:t>
            </w:r>
            <w:r w:rsidR="0068358F">
              <w:rPr>
                <w:bCs/>
              </w:rPr>
              <w:t xml:space="preserve"> 7</w:t>
            </w:r>
            <w:bookmarkStart w:id="0" w:name="_GoBack"/>
            <w:bookmarkEnd w:id="0"/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  <w:lang w:val="en-US"/>
              </w:rPr>
            </w:pPr>
            <w:r w:rsidRPr="00505DC8">
              <w:rPr>
                <w:bCs/>
              </w:rPr>
              <w:t xml:space="preserve">к Договору № </w:t>
            </w:r>
            <w:r w:rsidRPr="00505DC8">
              <w:rPr>
                <w:color w:val="000000"/>
              </w:rPr>
              <w:t>______________</w:t>
            </w:r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</w:rPr>
            </w:pPr>
            <w:r w:rsidRPr="00505DC8">
              <w:rPr>
                <w:bCs/>
              </w:rPr>
              <w:t>от «_____» _____________ 20___ г.</w:t>
            </w:r>
          </w:p>
        </w:tc>
      </w:tr>
      <w:tr w:rsidR="005A2A9B" w:rsidRPr="00505DC8" w:rsidTr="00EF2410">
        <w:tc>
          <w:tcPr>
            <w:tcW w:w="4503" w:type="dxa"/>
            <w:shd w:val="pct12" w:color="auto" w:fill="auto"/>
          </w:tcPr>
          <w:p w:rsidR="005A2A9B" w:rsidRPr="00505DC8" w:rsidRDefault="005A2A9B" w:rsidP="00EF2410">
            <w:pPr>
              <w:ind w:right="-141" w:firstLine="709"/>
              <w:rPr>
                <w:bCs/>
              </w:rPr>
            </w:pPr>
          </w:p>
        </w:tc>
      </w:tr>
    </w:tbl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Pr="00505DC8" w:rsidRDefault="005A2A9B" w:rsidP="00505DC8">
      <w:pPr>
        <w:ind w:right="-141" w:firstLine="709"/>
        <w:jc w:val="center"/>
        <w:rPr>
          <w:b/>
          <w:bCs/>
        </w:rPr>
      </w:pPr>
    </w:p>
    <w:p w:rsidR="005A2A9B" w:rsidRDefault="005A2A9B" w:rsidP="00505DC8">
      <w:pPr>
        <w:ind w:right="-141" w:firstLine="709"/>
        <w:jc w:val="center"/>
        <w:rPr>
          <w:b/>
          <w:bCs/>
        </w:rPr>
      </w:pPr>
    </w:p>
    <w:p w:rsidR="00505DC8" w:rsidRPr="00505DC8" w:rsidRDefault="00505DC8" w:rsidP="00505DC8">
      <w:pPr>
        <w:ind w:right="-141" w:firstLine="709"/>
        <w:jc w:val="center"/>
        <w:rPr>
          <w:b/>
          <w:bCs/>
        </w:rPr>
      </w:pPr>
    </w:p>
    <w:p w:rsidR="00660F9D" w:rsidRPr="00505DC8" w:rsidRDefault="00660F9D" w:rsidP="00505DC8">
      <w:pPr>
        <w:ind w:right="-141" w:firstLine="709"/>
        <w:jc w:val="center"/>
        <w:rPr>
          <w:b/>
          <w:bCs/>
        </w:rPr>
      </w:pPr>
      <w:r w:rsidRPr="00505DC8">
        <w:rPr>
          <w:b/>
          <w:bCs/>
        </w:rPr>
        <w:t>Перечень нарушений для снижения стоимости работ</w:t>
      </w:r>
    </w:p>
    <w:p w:rsidR="00660F9D" w:rsidRPr="00505DC8" w:rsidRDefault="00660F9D" w:rsidP="00505DC8">
      <w:pPr>
        <w:ind w:right="-141" w:firstLine="709"/>
        <w:jc w:val="center"/>
        <w:rPr>
          <w:b/>
        </w:rPr>
      </w:pPr>
      <w:r w:rsidRPr="00505DC8">
        <w:rPr>
          <w:b/>
          <w:bCs/>
        </w:rPr>
        <w:t xml:space="preserve">при </w:t>
      </w:r>
      <w:r w:rsidR="00505DC8">
        <w:rPr>
          <w:b/>
          <w:bCs/>
        </w:rPr>
        <w:t xml:space="preserve">проведении </w:t>
      </w:r>
      <w:r w:rsidRPr="00505DC8">
        <w:rPr>
          <w:b/>
          <w:bCs/>
        </w:rPr>
        <w:t>РИР</w:t>
      </w:r>
      <w:r w:rsidR="00505DC8">
        <w:rPr>
          <w:b/>
          <w:bCs/>
        </w:rPr>
        <w:t xml:space="preserve"> и </w:t>
      </w:r>
      <w:r w:rsidRPr="00505DC8">
        <w:rPr>
          <w:b/>
          <w:bCs/>
        </w:rPr>
        <w:t>ОПЗ</w:t>
      </w:r>
    </w:p>
    <w:p w:rsidR="00660F9D" w:rsidRPr="00505DC8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</w:rPr>
      </w:pPr>
    </w:p>
    <w:p w:rsidR="00660F9D" w:rsidRPr="00505DC8" w:rsidRDefault="00660F9D" w:rsidP="00505DC8">
      <w:pPr>
        <w:pStyle w:val="a3"/>
        <w:ind w:right="-141" w:firstLine="709"/>
        <w:rPr>
          <w:b/>
          <w:bCs/>
        </w:rPr>
      </w:pPr>
      <w:r w:rsidRPr="00505DC8">
        <w:rPr>
          <w:b/>
          <w:bCs/>
        </w:rPr>
        <w:t xml:space="preserve">Перечень технологических, технических нарушений, а также нарушений правил безопасности и охраны окружающей среды,  требующих оперативной остановки процесса бригады по повышению </w:t>
      </w:r>
      <w:proofErr w:type="spellStart"/>
      <w:r w:rsidRPr="00505DC8">
        <w:rPr>
          <w:b/>
          <w:bCs/>
        </w:rPr>
        <w:t>нефтеотдачи</w:t>
      </w:r>
      <w:proofErr w:type="spellEnd"/>
      <w:r w:rsidRPr="00505DC8">
        <w:rPr>
          <w:b/>
          <w:bCs/>
        </w:rPr>
        <w:t xml:space="preserve"> пластов</w:t>
      </w:r>
      <w:r w:rsidRPr="00505DC8">
        <w:rPr>
          <w:b/>
          <w:bCs/>
          <w:lang w:val="ru-RU"/>
        </w:rPr>
        <w:t>,</w:t>
      </w:r>
      <w:r w:rsidRPr="00505DC8">
        <w:rPr>
          <w:b/>
          <w:bCs/>
        </w:rPr>
        <w:t xml:space="preserve"> ОПЗ </w:t>
      </w:r>
      <w:r w:rsidRPr="00505DC8">
        <w:rPr>
          <w:b/>
          <w:bCs/>
          <w:lang w:val="ru-RU"/>
        </w:rPr>
        <w:t>и РИР</w:t>
      </w:r>
      <w:r w:rsidRPr="00505DC8">
        <w:rPr>
          <w:b/>
          <w:bCs/>
        </w:rPr>
        <w:t xml:space="preserve">. </w:t>
      </w:r>
    </w:p>
    <w:p w:rsidR="00660F9D" w:rsidRPr="00505DC8" w:rsidRDefault="00660F9D" w:rsidP="00505DC8">
      <w:pPr>
        <w:pStyle w:val="21"/>
        <w:tabs>
          <w:tab w:val="left" w:pos="540"/>
          <w:tab w:val="left" w:pos="5850"/>
        </w:tabs>
        <w:ind w:right="-141" w:firstLine="709"/>
      </w:pP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Отсутствует утвержденный план производства работ, акт приема-передачи скважины, наряд-допуск на производство опасных работ.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 Разливы нефти на территории  ремонтируемой скважины, пропуски нефти и газа на соседних с ремонтируемой скважинах.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Отсутствует двусторонняя радиотелефонная связь с базой ремонтного цеха или дежурный автомобиль, находящийся на кусту в оперативном под</w:t>
      </w:r>
      <w:r w:rsidRPr="007A22E8">
        <w:rPr>
          <w:highlight w:val="lightGray"/>
        </w:rPr>
        <w:softHyphen/>
        <w:t xml:space="preserve">чинении бригады (вахты).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Отсутствуют (либо просрочены, либо не соответствуют фактически применяемым) сертификаты на применяемые </w:t>
      </w:r>
      <w:r w:rsidRPr="007A22E8">
        <w:rPr>
          <w:highlight w:val="lightGray"/>
          <w:lang w:val="ru-RU"/>
        </w:rPr>
        <w:t xml:space="preserve">материалы и </w:t>
      </w:r>
      <w:r w:rsidRPr="007A22E8">
        <w:rPr>
          <w:highlight w:val="lightGray"/>
        </w:rPr>
        <w:t>хим.</w:t>
      </w:r>
      <w:r w:rsidRPr="007A22E8">
        <w:rPr>
          <w:highlight w:val="lightGray"/>
          <w:lang w:val="ru-RU"/>
        </w:rPr>
        <w:t xml:space="preserve"> </w:t>
      </w:r>
      <w:r w:rsidRPr="007A22E8">
        <w:rPr>
          <w:highlight w:val="lightGray"/>
        </w:rPr>
        <w:t xml:space="preserve">реагенты.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Работы ведутся без (или с неисправными) средствами контроля.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Работа с неисправным оборудованием, механизмами, инструментом не прошедшими дефектоскопию или не имеющими паспортов, и защитных приспособлений.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Не выдержано расстояние от ЛЭП до вагончиков.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Отсутствует график зачистки емкости. 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Производство работ ведётся персоналом  без средств индивидуальной защиты.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Нарушение технологических регламентов, РД, мероприятий, ПБНГП, технических условий, охраны недр и окружающей среды.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Работы ведутся неполным составом вахты.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Не выполнены пункты предписаний в установленные сроки предыдущих проверок.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Отклонение от плана работ без согласования с Заказчиком по замене </w:t>
      </w:r>
      <w:proofErr w:type="spellStart"/>
      <w:r w:rsidRPr="007A22E8">
        <w:rPr>
          <w:highlight w:val="lightGray"/>
          <w:lang w:val="ru-RU"/>
        </w:rPr>
        <w:t>материалови</w:t>
      </w:r>
      <w:proofErr w:type="spellEnd"/>
      <w:r w:rsidRPr="007A22E8">
        <w:rPr>
          <w:highlight w:val="lightGray"/>
          <w:lang w:val="ru-RU"/>
        </w:rPr>
        <w:t xml:space="preserve"> </w:t>
      </w:r>
      <w:r w:rsidRPr="007A22E8">
        <w:rPr>
          <w:highlight w:val="lightGray"/>
        </w:rPr>
        <w:t>хим. реагентов, указанных в плане работ.</w:t>
      </w:r>
    </w:p>
    <w:p w:rsidR="00660F9D" w:rsidRPr="007A22E8" w:rsidRDefault="00660F9D" w:rsidP="00505DC8">
      <w:pPr>
        <w:pStyle w:val="a3"/>
        <w:numPr>
          <w:ilvl w:val="0"/>
          <w:numId w:val="2"/>
        </w:numPr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Отсутствие нейтрализующие вещества (сода, пресная вода, известь для нейтрализации розливов кислот) </w:t>
      </w:r>
    </w:p>
    <w:p w:rsidR="00660F9D" w:rsidRPr="007A22E8" w:rsidRDefault="00660F9D" w:rsidP="00505DC8">
      <w:pPr>
        <w:pStyle w:val="a3"/>
        <w:ind w:right="-141" w:firstLine="709"/>
        <w:rPr>
          <w:b/>
          <w:highlight w:val="lightGray"/>
          <w:u w:val="single"/>
          <w:lang w:val="ru-RU"/>
        </w:rPr>
      </w:pPr>
      <w:r w:rsidRPr="007A22E8">
        <w:rPr>
          <w:b/>
          <w:highlight w:val="lightGray"/>
          <w:u w:val="single"/>
        </w:rPr>
        <w:t>За каждый остановочный пункт стоимость работ снижается на 10%</w:t>
      </w:r>
      <w:r w:rsidRPr="007A22E8">
        <w:rPr>
          <w:b/>
          <w:highlight w:val="lightGray"/>
          <w:u w:val="single"/>
          <w:lang w:val="ru-RU"/>
        </w:rPr>
        <w:t>.</w:t>
      </w:r>
    </w:p>
    <w:p w:rsidR="00660F9D" w:rsidRPr="007A22E8" w:rsidRDefault="00660F9D" w:rsidP="00505DC8">
      <w:pPr>
        <w:tabs>
          <w:tab w:val="left" w:pos="0"/>
        </w:tabs>
        <w:spacing w:after="120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Запись об остановке работ производится в «Журнале проверки состояния условий труда» с указанием причин и составлением Акта в 2-х экземплярах с уведомлением руководства Подрядчика и Заказчика.</w:t>
      </w:r>
    </w:p>
    <w:p w:rsidR="00660F9D" w:rsidRPr="007A22E8" w:rsidRDefault="00660F9D" w:rsidP="00505DC8">
      <w:pPr>
        <w:tabs>
          <w:tab w:val="left" w:pos="5850"/>
        </w:tabs>
        <w:spacing w:after="120"/>
        <w:ind w:right="-141" w:firstLine="709"/>
        <w:rPr>
          <w:b/>
          <w:highlight w:val="lightGray"/>
        </w:rPr>
      </w:pPr>
      <w:r w:rsidRPr="007A22E8">
        <w:rPr>
          <w:highlight w:val="lightGray"/>
        </w:rPr>
        <w:t>Возобновление технологического процесса производится после устранения остановочных нарушений с разрешения супервайзера. В Акте фиксируется фактическое время простоя бригады.</w:t>
      </w:r>
    </w:p>
    <w:p w:rsidR="00660F9D" w:rsidRPr="007A22E8" w:rsidRDefault="00660F9D" w:rsidP="00505DC8">
      <w:pPr>
        <w:spacing w:after="120"/>
        <w:ind w:right="-141" w:firstLine="709"/>
        <w:jc w:val="both"/>
        <w:rPr>
          <w:b/>
          <w:iCs/>
          <w:highlight w:val="lightGray"/>
        </w:rPr>
      </w:pPr>
      <w:r w:rsidRPr="007A22E8">
        <w:rPr>
          <w:b/>
          <w:iCs/>
          <w:highlight w:val="lightGray"/>
        </w:rPr>
        <w:t>Работы Подрядчика, связанные с устранением нарушений после остановки бригады, оплате не подлежат.</w:t>
      </w:r>
    </w:p>
    <w:p w:rsidR="00505DC8" w:rsidRPr="007A22E8" w:rsidRDefault="00505DC8">
      <w:pPr>
        <w:spacing w:after="200" w:line="276" w:lineRule="auto"/>
        <w:rPr>
          <w:b/>
          <w:bCs/>
          <w:highlight w:val="lightGray"/>
        </w:rPr>
      </w:pPr>
      <w:r w:rsidRPr="007A22E8">
        <w:rPr>
          <w:b/>
          <w:bCs/>
          <w:highlight w:val="lightGray"/>
        </w:rPr>
        <w:br w:type="page"/>
      </w:r>
    </w:p>
    <w:p w:rsidR="00EF2410" w:rsidRDefault="00EF2410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</w:p>
    <w:p w:rsidR="00660F9D" w:rsidRPr="00EF2410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  <w:r w:rsidRPr="00EF2410">
        <w:rPr>
          <w:b/>
          <w:bCs/>
          <w:sz w:val="20"/>
          <w:szCs w:val="20"/>
          <w:highlight w:val="lightGray"/>
        </w:rPr>
        <w:t xml:space="preserve">Таблица </w:t>
      </w:r>
      <w:r w:rsidR="005A2A9B" w:rsidRPr="00EF2410">
        <w:rPr>
          <w:b/>
          <w:bCs/>
          <w:sz w:val="20"/>
          <w:szCs w:val="20"/>
          <w:highlight w:val="lightGray"/>
        </w:rPr>
        <w:t>№</w:t>
      </w:r>
      <w:r w:rsidRPr="00EF2410">
        <w:rPr>
          <w:b/>
          <w:bCs/>
          <w:sz w:val="20"/>
          <w:szCs w:val="20"/>
          <w:highlight w:val="lightGray"/>
        </w:rPr>
        <w:t xml:space="preserve">1. </w:t>
      </w:r>
    </w:p>
    <w:p w:rsidR="00660F9D" w:rsidRPr="00EF2410" w:rsidRDefault="00660F9D" w:rsidP="00505DC8">
      <w:pPr>
        <w:shd w:val="clear" w:color="auto" w:fill="FFFFFF"/>
        <w:spacing w:before="101"/>
        <w:ind w:right="-141" w:firstLine="709"/>
        <w:jc w:val="right"/>
        <w:rPr>
          <w:b/>
          <w:bCs/>
          <w:sz w:val="20"/>
          <w:szCs w:val="20"/>
          <w:highlight w:val="lightGray"/>
        </w:rPr>
      </w:pPr>
      <w:r w:rsidRPr="00EF2410">
        <w:rPr>
          <w:b/>
          <w:bCs/>
          <w:sz w:val="20"/>
          <w:szCs w:val="20"/>
          <w:highlight w:val="lightGray"/>
        </w:rPr>
        <w:t>Технологические и технические нарушения, влекущие остановку процесса и снижение стоимости услуг к исполнителю работ</w:t>
      </w:r>
    </w:p>
    <w:tbl>
      <w:tblPr>
        <w:tblpPr w:leftFromText="180" w:rightFromText="180" w:vertAnchor="page" w:horzAnchor="margin" w:tblpY="1777"/>
        <w:tblW w:w="9606" w:type="dxa"/>
        <w:tblLook w:val="04A0" w:firstRow="1" w:lastRow="0" w:firstColumn="1" w:lastColumn="0" w:noHBand="0" w:noVBand="1"/>
      </w:tblPr>
      <w:tblGrid>
        <w:gridCol w:w="724"/>
        <w:gridCol w:w="6614"/>
        <w:gridCol w:w="2268"/>
      </w:tblGrid>
      <w:tr w:rsidR="00505DC8" w:rsidRPr="007A22E8" w:rsidTr="00505DC8">
        <w:trPr>
          <w:trHeight w:val="97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 xml:space="preserve">№ </w:t>
            </w:r>
            <w:proofErr w:type="gramStart"/>
            <w:r w:rsidRPr="007A22E8">
              <w:rPr>
                <w:b/>
                <w:bCs/>
                <w:color w:val="000000"/>
                <w:highlight w:val="lightGray"/>
              </w:rPr>
              <w:t>п</w:t>
            </w:r>
            <w:proofErr w:type="gramEnd"/>
            <w:r w:rsidRPr="007A22E8">
              <w:rPr>
                <w:b/>
                <w:bCs/>
                <w:color w:val="000000"/>
                <w:highlight w:val="lightGray"/>
              </w:rPr>
              <w:t>/п</w:t>
            </w:r>
          </w:p>
        </w:tc>
        <w:tc>
          <w:tcPr>
            <w:tcW w:w="6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>Вид нарушения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b/>
                <w:bCs/>
                <w:color w:val="000000"/>
                <w:highlight w:val="lightGray"/>
              </w:rPr>
            </w:pPr>
            <w:r w:rsidRPr="007A22E8">
              <w:rPr>
                <w:b/>
                <w:bCs/>
                <w:color w:val="000000"/>
                <w:highlight w:val="lightGray"/>
              </w:rPr>
              <w:t>% снижения стоимости от объема выполненных работ</w:t>
            </w:r>
          </w:p>
        </w:tc>
      </w:tr>
      <w:tr w:rsidR="00505DC8" w:rsidRPr="007A22E8" w:rsidTr="00505DC8">
        <w:trPr>
          <w:trHeight w:val="43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Искажение, фальсификация либо не своевременное предоставление информации (сводки) о проделанной работе.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4%</w:t>
            </w:r>
          </w:p>
        </w:tc>
      </w:tr>
      <w:tr w:rsidR="00505DC8" w:rsidRPr="007A22E8" w:rsidTr="00505DC8">
        <w:trPr>
          <w:trHeight w:val="315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2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Отклонение от утвержденного плана работ: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</w:tr>
      <w:tr w:rsidR="00505DC8" w:rsidRPr="007A22E8" w:rsidTr="00505DC8">
        <w:trPr>
          <w:trHeight w:val="802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а) отклонения от плана работ без согласования с Заказчиком по подготовительным мероприятиям (определение приемистости опрессовки, промывки и т.д.);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а) 5%</w:t>
            </w:r>
          </w:p>
        </w:tc>
      </w:tr>
      <w:tr w:rsidR="00505DC8" w:rsidRPr="007A22E8" w:rsidTr="00505DC8">
        <w:trPr>
          <w:trHeight w:val="419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б) отклонение от плана работ без согласования с Заказчиком по объему закачки, работ;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б) 10%</w:t>
            </w:r>
          </w:p>
        </w:tc>
      </w:tr>
      <w:tr w:rsidR="00505DC8" w:rsidRPr="007A22E8" w:rsidTr="00505DC8">
        <w:trPr>
          <w:trHeight w:val="768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в) отклонение от плана работ без согласования с Заказчиком по использованию неполного объема материалов  и химических реагентов;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в) 10%</w:t>
            </w:r>
          </w:p>
        </w:tc>
      </w:tr>
      <w:tr w:rsidR="00505DC8" w:rsidRPr="007A22E8" w:rsidTr="00505DC8">
        <w:trPr>
          <w:trHeight w:val="95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 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   г)  отклонения от плана работ без согласования с Заказчиком, повлекшие аварию.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г) 15% + </w:t>
            </w:r>
            <w:r w:rsidRPr="007A22E8">
              <w:rPr>
                <w:color w:val="000000"/>
                <w:sz w:val="22"/>
                <w:highlight w:val="lightGray"/>
              </w:rPr>
              <w:t>Ликвидация аварии за счет средств виновной стороны</w:t>
            </w:r>
          </w:p>
        </w:tc>
      </w:tr>
      <w:tr w:rsidR="00505DC8" w:rsidRPr="007A22E8" w:rsidTr="00505DC8">
        <w:trPr>
          <w:trHeight w:val="7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3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Возобновление работы бригады без разрешения после ее остановки региональной службой супервайзинга (с оформлением акта).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20%</w:t>
            </w:r>
          </w:p>
        </w:tc>
      </w:tr>
      <w:tr w:rsidR="00505DC8" w:rsidRPr="007A22E8" w:rsidTr="00505DC8">
        <w:trPr>
          <w:trHeight w:val="6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4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Несоответствие контролируемых параметров закачиваемых композиций необходимым значениям, </w:t>
            </w:r>
            <w:proofErr w:type="gramStart"/>
            <w:r w:rsidRPr="007A22E8">
              <w:rPr>
                <w:color w:val="000000"/>
                <w:highlight w:val="lightGray"/>
              </w:rPr>
              <w:t>согласно инструкций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и калибровочным графикам.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3%</w:t>
            </w:r>
          </w:p>
        </w:tc>
      </w:tr>
      <w:tr w:rsidR="00505DC8" w:rsidRPr="007A22E8" w:rsidTr="00505DC8">
        <w:trPr>
          <w:trHeight w:val="238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5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Предоставление некачественного оборудования, нарушение норм и правил работы с оборудованием, повлекшее за собой, либо которое может повлечь за собой преждевременное окончание работы, аварию, разгерметизацию, несчастный случай (отсутствие паспортов на оборудование, просроченные сроки проверок и тестирования  оборудования, нарушение графиков пропарки, промывке оборудования, отсутствие талонов о результатах КВЧ, мех</w:t>
            </w:r>
            <w:proofErr w:type="gramStart"/>
            <w:r w:rsidRPr="007A22E8">
              <w:rPr>
                <w:color w:val="000000"/>
                <w:highlight w:val="lightGray"/>
              </w:rPr>
              <w:t>.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</w:t>
            </w:r>
            <w:proofErr w:type="gramStart"/>
            <w:r w:rsidRPr="007A22E8">
              <w:rPr>
                <w:color w:val="000000"/>
                <w:highlight w:val="lightGray"/>
              </w:rPr>
              <w:t>п</w:t>
            </w:r>
            <w:proofErr w:type="gramEnd"/>
            <w:r w:rsidRPr="007A22E8">
              <w:rPr>
                <w:color w:val="000000"/>
                <w:highlight w:val="lightGray"/>
              </w:rPr>
              <w:t>римесей с аккредитованной лаборатории).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44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6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proofErr w:type="gramStart"/>
            <w:r w:rsidRPr="007A22E8">
              <w:rPr>
                <w:color w:val="000000"/>
                <w:highlight w:val="lightGray"/>
              </w:rPr>
              <w:t>Не вызван представитель службы супервайзинга на подготовительные и начало работ.</w:t>
            </w:r>
            <w:proofErr w:type="gram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81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Отсутствие контроля качества закачиваемой композиции</w:t>
            </w:r>
            <w:proofErr w:type="gramStart"/>
            <w:r w:rsidRPr="007A22E8">
              <w:rPr>
                <w:color w:val="000000"/>
                <w:highlight w:val="lightGray"/>
              </w:rPr>
              <w:t>.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 (</w:t>
            </w:r>
            <w:proofErr w:type="gramStart"/>
            <w:r w:rsidRPr="007A22E8">
              <w:rPr>
                <w:color w:val="000000"/>
                <w:highlight w:val="lightGray"/>
              </w:rPr>
              <w:t>о</w:t>
            </w:r>
            <w:proofErr w:type="gramEnd"/>
            <w:r w:rsidRPr="007A22E8">
              <w:rPr>
                <w:color w:val="000000"/>
                <w:highlight w:val="lightGray"/>
              </w:rPr>
              <w:t xml:space="preserve">тсутствие контрольно-измерительных приборов, </w:t>
            </w:r>
            <w:proofErr w:type="spellStart"/>
            <w:r w:rsidRPr="007A22E8">
              <w:rPr>
                <w:color w:val="000000"/>
                <w:highlight w:val="lightGray"/>
              </w:rPr>
              <w:t>режимно</w:t>
            </w:r>
            <w:proofErr w:type="spellEnd"/>
            <w:r w:rsidRPr="007A22E8">
              <w:rPr>
                <w:color w:val="000000"/>
                <w:highlight w:val="lightGray"/>
              </w:rPr>
              <w:t>-технологических карт, калибровочных емкостей и т.д.)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41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8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Не зачищена кустовая площадка от продуктов деятельности Исполнителя работ.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10%</w:t>
            </w:r>
          </w:p>
        </w:tc>
      </w:tr>
      <w:tr w:rsidR="00505DC8" w:rsidRPr="007A22E8" w:rsidTr="00505DC8">
        <w:trPr>
          <w:trHeight w:val="77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9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7A22E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 xml:space="preserve">Отказ представителя </w:t>
            </w:r>
            <w:r w:rsidR="007A22E8">
              <w:rPr>
                <w:color w:val="000000"/>
                <w:highlight w:val="lightGray"/>
              </w:rPr>
              <w:t>Подрядчика</w:t>
            </w:r>
            <w:r w:rsidRPr="007A22E8">
              <w:rPr>
                <w:color w:val="000000"/>
                <w:highlight w:val="lightGray"/>
              </w:rPr>
              <w:t xml:space="preserve"> от подписи в актах представителей </w:t>
            </w:r>
            <w:proofErr w:type="spellStart"/>
            <w:r w:rsidRPr="007A22E8">
              <w:rPr>
                <w:color w:val="000000"/>
                <w:highlight w:val="lightGray"/>
              </w:rPr>
              <w:t>супервайзинговой</w:t>
            </w:r>
            <w:proofErr w:type="spellEnd"/>
            <w:r w:rsidRPr="007A22E8">
              <w:rPr>
                <w:color w:val="000000"/>
                <w:highlight w:val="lightGray"/>
              </w:rPr>
              <w:t xml:space="preserve"> службы, либо дачи мотивированных пояснений.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7%</w:t>
            </w:r>
          </w:p>
        </w:tc>
      </w:tr>
      <w:tr w:rsidR="00505DC8" w:rsidRPr="007A22E8" w:rsidTr="00505DC8">
        <w:trPr>
          <w:trHeight w:val="36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10</w:t>
            </w:r>
          </w:p>
        </w:tc>
        <w:tc>
          <w:tcPr>
            <w:tcW w:w="6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Превышение КВЧ, содержание механических примесей свыше допустимой нормы принятой в Обществе.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5DC8" w:rsidRPr="007A22E8" w:rsidRDefault="00505DC8" w:rsidP="00505DC8">
            <w:pPr>
              <w:jc w:val="center"/>
              <w:rPr>
                <w:color w:val="000000"/>
                <w:highlight w:val="lightGray"/>
              </w:rPr>
            </w:pPr>
            <w:r w:rsidRPr="007A22E8">
              <w:rPr>
                <w:color w:val="000000"/>
                <w:highlight w:val="lightGray"/>
              </w:rPr>
              <w:t>7%</w:t>
            </w:r>
          </w:p>
        </w:tc>
      </w:tr>
    </w:tbl>
    <w:p w:rsidR="00505DC8" w:rsidRPr="007A22E8" w:rsidRDefault="00505DC8">
      <w:pPr>
        <w:spacing w:after="200" w:line="276" w:lineRule="auto"/>
        <w:rPr>
          <w:highlight w:val="lightGray"/>
        </w:rPr>
      </w:pPr>
      <w:r w:rsidRPr="007A22E8">
        <w:rPr>
          <w:highlight w:val="lightGray"/>
        </w:rPr>
        <w:br w:type="page"/>
      </w:r>
    </w:p>
    <w:p w:rsidR="00EF2410" w:rsidRDefault="00EF2410" w:rsidP="00505DC8">
      <w:pPr>
        <w:pStyle w:val="a3"/>
        <w:ind w:right="-141" w:firstLine="709"/>
        <w:jc w:val="both"/>
        <w:rPr>
          <w:b/>
          <w:highlight w:val="lightGray"/>
          <w:lang w:val="ru-RU"/>
        </w:rPr>
      </w:pPr>
    </w:p>
    <w:p w:rsidR="00EF2410" w:rsidRDefault="00EF2410" w:rsidP="00505DC8">
      <w:pPr>
        <w:pStyle w:val="a3"/>
        <w:ind w:right="-141" w:firstLine="709"/>
        <w:jc w:val="both"/>
        <w:rPr>
          <w:b/>
          <w:highlight w:val="lightGray"/>
          <w:lang w:val="ru-RU"/>
        </w:rPr>
      </w:pP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b/>
          <w:highlight w:val="lightGray"/>
        </w:rPr>
        <w:t>Примечание</w:t>
      </w:r>
      <w:r w:rsidRPr="007A22E8">
        <w:rPr>
          <w:highlight w:val="lightGray"/>
        </w:rPr>
        <w:t>:</w:t>
      </w:r>
    </w:p>
    <w:p w:rsidR="00505DC8" w:rsidRPr="007A22E8" w:rsidRDefault="00505DC8" w:rsidP="00505DC8">
      <w:pPr>
        <w:pStyle w:val="a3"/>
        <w:numPr>
          <w:ilvl w:val="0"/>
          <w:numId w:val="3"/>
        </w:numPr>
        <w:spacing w:after="0"/>
        <w:ind w:left="0"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При наличии нескольких нарушений снижение стоимости производится по сумме 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нарушений и если эта сумма превышает 30% от стоимости ремонта, то снижение производится: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>А) не более 30% от общей стоимости ремонта, при условии отстранения от работы на объектах О</w:t>
      </w:r>
      <w:r w:rsidRPr="007A22E8">
        <w:rPr>
          <w:highlight w:val="lightGray"/>
          <w:lang w:val="ru-RU"/>
        </w:rPr>
        <w:t>А</w:t>
      </w:r>
      <w:r w:rsidRPr="007A22E8">
        <w:rPr>
          <w:highlight w:val="lightGray"/>
        </w:rPr>
        <w:t>О «</w:t>
      </w:r>
      <w:r w:rsidRPr="007A22E8">
        <w:rPr>
          <w:highlight w:val="lightGray"/>
          <w:lang w:val="ru-RU"/>
        </w:rPr>
        <w:t>СН-МНГ</w:t>
      </w:r>
      <w:r w:rsidRPr="007A22E8">
        <w:rPr>
          <w:highlight w:val="lightGray"/>
        </w:rPr>
        <w:t>» работников Исполнителя (включая ИТР), ответственных в допущенных нарушениях;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Б) без ограничения (вплоть до 100%) если работники Исполнителя продолжают работу на объектах </w:t>
      </w:r>
      <w:r w:rsidRPr="007A22E8">
        <w:rPr>
          <w:highlight w:val="lightGray"/>
          <w:lang w:val="ru-RU"/>
        </w:rPr>
        <w:t>ОАО «СН-МНГ»</w:t>
      </w:r>
      <w:r w:rsidRPr="007A22E8">
        <w:rPr>
          <w:highlight w:val="lightGray"/>
        </w:rPr>
        <w:t xml:space="preserve">. </w:t>
      </w:r>
    </w:p>
    <w:p w:rsidR="00505DC8" w:rsidRPr="007A22E8" w:rsidRDefault="00505DC8" w:rsidP="00505DC8">
      <w:pPr>
        <w:pStyle w:val="a3"/>
        <w:ind w:right="-141" w:firstLine="709"/>
        <w:jc w:val="both"/>
        <w:rPr>
          <w:highlight w:val="lightGray"/>
        </w:rPr>
      </w:pPr>
      <w:r w:rsidRPr="007A22E8">
        <w:rPr>
          <w:highlight w:val="lightGray"/>
        </w:rPr>
        <w:t xml:space="preserve">     2. Не могут применяться несколько снижений стоимости за одно и то же нарушение.</w:t>
      </w:r>
    </w:p>
    <w:p w:rsidR="00505DC8" w:rsidRPr="00505DC8" w:rsidRDefault="00505DC8" w:rsidP="00505DC8">
      <w:pPr>
        <w:pStyle w:val="a3"/>
        <w:ind w:right="-141" w:firstLine="709"/>
        <w:jc w:val="both"/>
      </w:pPr>
      <w:r w:rsidRPr="007A22E8">
        <w:rPr>
          <w:highlight w:val="lightGray"/>
        </w:rPr>
        <w:t xml:space="preserve">     3. Снижение стоимости должны применяться за каждое повторное нарушение. Повторным нарушение считается, если оно было допущено   повторно после его устранения или если оно не устранено в предписанный для устранения срок.</w:t>
      </w:r>
    </w:p>
    <w:p w:rsidR="00D05420" w:rsidRDefault="00D05420" w:rsidP="00505DC8">
      <w:pPr>
        <w:ind w:right="-141" w:firstLine="709"/>
      </w:pPr>
    </w:p>
    <w:p w:rsidR="00505DC8" w:rsidRDefault="00505DC8" w:rsidP="00505DC8">
      <w:pPr>
        <w:ind w:right="-141" w:firstLine="709"/>
      </w:pPr>
    </w:p>
    <w:tbl>
      <w:tblPr>
        <w:tblW w:w="9892" w:type="dxa"/>
        <w:tblInd w:w="6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7A22E8" w:rsidRPr="00FF2B2B" w:rsidTr="00D942A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Заказчик:</w:t>
            </w:r>
          </w:p>
        </w:tc>
        <w:tc>
          <w:tcPr>
            <w:tcW w:w="72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  <w:r>
              <w:rPr>
                <w:b/>
              </w:rPr>
              <w:t>Подрядчик</w:t>
            </w:r>
            <w:r w:rsidRPr="00FF2B2B">
              <w:rPr>
                <w:b/>
              </w:rPr>
              <w:t>:</w:t>
            </w:r>
          </w:p>
        </w:tc>
      </w:tr>
      <w:tr w:rsidR="007A22E8" w:rsidRPr="00FF2B2B" w:rsidTr="00D942A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>ОАО «СН-МНГ»</w:t>
            </w:r>
          </w:p>
        </w:tc>
        <w:tc>
          <w:tcPr>
            <w:tcW w:w="72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3184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126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</w:p>
        </w:tc>
      </w:tr>
      <w:tr w:rsidR="007A22E8" w:rsidRPr="00FF2B2B" w:rsidTr="00D942A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     (наименование)</w:t>
            </w:r>
          </w:p>
        </w:tc>
      </w:tr>
      <w:tr w:rsidR="007A22E8" w:rsidRPr="00FF2B2B" w:rsidTr="00D942A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</w:p>
        </w:tc>
        <w:tc>
          <w:tcPr>
            <w:tcW w:w="72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</w:p>
        </w:tc>
      </w:tr>
      <w:tr w:rsidR="007A22E8" w:rsidRPr="00FF2B2B" w:rsidTr="00D942A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  <w:tc>
          <w:tcPr>
            <w:tcW w:w="72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  <w:i/>
              </w:rPr>
            </w:pPr>
            <w:r w:rsidRPr="00FF2B2B">
              <w:rPr>
                <w:i/>
              </w:rPr>
              <w:t>(должность)</w:t>
            </w:r>
          </w:p>
        </w:tc>
      </w:tr>
      <w:tr w:rsidR="007A22E8" w:rsidRPr="00FF2B2B" w:rsidTr="00D942AD">
        <w:trPr>
          <w:trHeight w:val="182"/>
        </w:trPr>
        <w:tc>
          <w:tcPr>
            <w:tcW w:w="2364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364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  <w:tc>
          <w:tcPr>
            <w:tcW w:w="72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2222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i/>
              </w:rPr>
            </w:pPr>
            <w:r w:rsidRPr="00FF2B2B">
              <w:rPr>
                <w:b/>
              </w:rPr>
              <w:t>(ФИО)</w:t>
            </w:r>
          </w:p>
        </w:tc>
      </w:tr>
      <w:tr w:rsidR="007A22E8" w:rsidRPr="00FF2B2B" w:rsidTr="00D942AD">
        <w:trPr>
          <w:trHeight w:val="182"/>
        </w:trPr>
        <w:tc>
          <w:tcPr>
            <w:tcW w:w="4728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  <w:tc>
          <w:tcPr>
            <w:tcW w:w="72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i/>
              </w:rPr>
            </w:pPr>
            <w:r w:rsidRPr="00FF2B2B">
              <w:rPr>
                <w:i/>
              </w:rPr>
              <w:t xml:space="preserve">          (подпись)</w:t>
            </w:r>
          </w:p>
        </w:tc>
      </w:tr>
      <w:tr w:rsidR="007A22E8" w:rsidRPr="00FF2B2B" w:rsidTr="00D942AD">
        <w:trPr>
          <w:trHeight w:val="180"/>
        </w:trPr>
        <w:tc>
          <w:tcPr>
            <w:tcW w:w="4728" w:type="dxa"/>
            <w:gridSpan w:val="2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rPr>
                <w:b/>
              </w:rPr>
            </w:pPr>
            <w:r w:rsidRPr="00FF2B2B">
              <w:rPr>
                <w:b/>
              </w:rPr>
              <w:t xml:space="preserve">         М.П.</w:t>
            </w:r>
          </w:p>
        </w:tc>
        <w:tc>
          <w:tcPr>
            <w:tcW w:w="720" w:type="dxa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  <w:jc w:val="center"/>
              <w:rPr>
                <w:b/>
              </w:rPr>
            </w:pPr>
          </w:p>
        </w:tc>
        <w:tc>
          <w:tcPr>
            <w:tcW w:w="4444" w:type="dxa"/>
            <w:gridSpan w:val="3"/>
            <w:shd w:val="pct12" w:color="auto" w:fill="auto"/>
          </w:tcPr>
          <w:p w:rsidR="007A22E8" w:rsidRPr="00FF2B2B" w:rsidRDefault="007A22E8" w:rsidP="00D942AD">
            <w:pPr>
              <w:pStyle w:val="a8"/>
              <w:snapToGrid w:val="0"/>
              <w:spacing w:after="0"/>
              <w:ind w:left="0"/>
            </w:pPr>
            <w:r w:rsidRPr="00FF2B2B">
              <w:rPr>
                <w:b/>
              </w:rPr>
              <w:t xml:space="preserve">            М.П.</w:t>
            </w:r>
          </w:p>
        </w:tc>
      </w:tr>
    </w:tbl>
    <w:p w:rsidR="00505DC8" w:rsidRPr="00505DC8" w:rsidRDefault="00505DC8" w:rsidP="00505DC8">
      <w:pPr>
        <w:ind w:right="-141" w:firstLine="709"/>
      </w:pPr>
    </w:p>
    <w:sectPr w:rsidR="00505DC8" w:rsidRPr="00505DC8" w:rsidSect="00505DC8">
      <w:pgSz w:w="11906" w:h="16838"/>
      <w:pgMar w:top="567" w:right="707" w:bottom="568" w:left="142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8118D"/>
    <w:multiLevelType w:val="hybridMultilevel"/>
    <w:tmpl w:val="B9741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1F6495"/>
    <w:multiLevelType w:val="hybridMultilevel"/>
    <w:tmpl w:val="96A4BF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ACE0E7E"/>
    <w:multiLevelType w:val="hybridMultilevel"/>
    <w:tmpl w:val="46580C4E"/>
    <w:lvl w:ilvl="0" w:tplc="AC5CF93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9A8"/>
    <w:rsid w:val="00087D02"/>
    <w:rsid w:val="000B0F70"/>
    <w:rsid w:val="000E09A8"/>
    <w:rsid w:val="0035360E"/>
    <w:rsid w:val="00367B71"/>
    <w:rsid w:val="003D5278"/>
    <w:rsid w:val="003E5207"/>
    <w:rsid w:val="004242F2"/>
    <w:rsid w:val="00505DC8"/>
    <w:rsid w:val="005A2A9B"/>
    <w:rsid w:val="005F652F"/>
    <w:rsid w:val="00660F9D"/>
    <w:rsid w:val="0068358F"/>
    <w:rsid w:val="006B7F94"/>
    <w:rsid w:val="006C1ECF"/>
    <w:rsid w:val="006D0ABA"/>
    <w:rsid w:val="006E223E"/>
    <w:rsid w:val="007A22E8"/>
    <w:rsid w:val="00851967"/>
    <w:rsid w:val="00854E48"/>
    <w:rsid w:val="008A7BB8"/>
    <w:rsid w:val="00914A62"/>
    <w:rsid w:val="00947A53"/>
    <w:rsid w:val="00977ADA"/>
    <w:rsid w:val="00985998"/>
    <w:rsid w:val="00B60674"/>
    <w:rsid w:val="00B647AB"/>
    <w:rsid w:val="00BC4E38"/>
    <w:rsid w:val="00CA0805"/>
    <w:rsid w:val="00D05420"/>
    <w:rsid w:val="00D36CC1"/>
    <w:rsid w:val="00D749E5"/>
    <w:rsid w:val="00E15728"/>
    <w:rsid w:val="00E747C4"/>
    <w:rsid w:val="00EB4F7C"/>
    <w:rsid w:val="00EF2410"/>
    <w:rsid w:val="00EF5F03"/>
    <w:rsid w:val="00F16F5D"/>
    <w:rsid w:val="00F34527"/>
    <w:rsid w:val="00F76D22"/>
    <w:rsid w:val="00F8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2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E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7A22E8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A22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60F9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0F9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"/>
    <w:basedOn w:val="a"/>
    <w:link w:val="a4"/>
    <w:rsid w:val="00660F9D"/>
    <w:pPr>
      <w:spacing w:after="120"/>
    </w:pPr>
    <w:rPr>
      <w:lang w:val="x-none" w:eastAsia="x-none"/>
    </w:rPr>
  </w:style>
  <w:style w:type="character" w:customStyle="1" w:styleId="a4">
    <w:name w:val="Основной текст Знак"/>
    <w:basedOn w:val="a0"/>
    <w:link w:val="a3"/>
    <w:rsid w:val="00660F9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660F9D"/>
    <w:pPr>
      <w:spacing w:before="60"/>
      <w:jc w:val="both"/>
    </w:pPr>
    <w:rPr>
      <w:i/>
      <w:iCs/>
      <w:color w:val="FF0000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660F9D"/>
    <w:rPr>
      <w:rFonts w:ascii="Times New Roman" w:eastAsia="Times New Roman" w:hAnsi="Times New Roman" w:cs="Times New Roman"/>
      <w:i/>
      <w:iCs/>
      <w:color w:val="FF0000"/>
      <w:sz w:val="24"/>
      <w:szCs w:val="24"/>
      <w:lang w:val="x-none" w:eastAsia="x-none"/>
    </w:rPr>
  </w:style>
  <w:style w:type="paragraph" w:styleId="a5">
    <w:name w:val="No Spacing"/>
    <w:uiPriority w:val="1"/>
    <w:qFormat/>
    <w:rsid w:val="005A2A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A22E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A22E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Body Text Indent"/>
    <w:basedOn w:val="a"/>
    <w:link w:val="a9"/>
    <w:rsid w:val="007A22E8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7A22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37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810</Words>
  <Characters>4618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Николаевич Таргоний</dc:creator>
  <cp:keywords/>
  <dc:description/>
  <cp:lastModifiedBy>Виктория Анатольевна Токарева</cp:lastModifiedBy>
  <cp:revision>8</cp:revision>
  <cp:lastPrinted>2014-10-09T03:37:00Z</cp:lastPrinted>
  <dcterms:created xsi:type="dcterms:W3CDTF">2014-08-21T10:56:00Z</dcterms:created>
  <dcterms:modified xsi:type="dcterms:W3CDTF">2014-10-23T05:31:00Z</dcterms:modified>
</cp:coreProperties>
</file>