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9B17D9">
              <w:rPr>
                <w:rFonts w:ascii="Times New Roman" w:hAnsi="Times New Roman"/>
                <w:sz w:val="24"/>
              </w:rPr>
              <w:t>273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9B17D9"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___»______</w:t>
            </w:r>
            <w:r w:rsidR="009B17D9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_____</w:t>
            </w:r>
            <w:r w:rsidR="00373FBA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94812">
        <w:rPr>
          <w:rFonts w:ascii="Times New Roman" w:hAnsi="Times New Roman"/>
          <w:b/>
          <w:sz w:val="24"/>
        </w:rPr>
        <w:t>324</w:t>
      </w:r>
      <w:r w:rsidR="00732F70">
        <w:rPr>
          <w:rFonts w:ascii="Times New Roman" w:hAnsi="Times New Roman"/>
          <w:b/>
          <w:sz w:val="24"/>
        </w:rPr>
        <w:t>/ТК/</w:t>
      </w:r>
      <w:r w:rsidR="00373FBA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9B17D9">
        <w:rPr>
          <w:rFonts w:ascii="Times New Roman" w:hAnsi="Times New Roman"/>
          <w:b/>
          <w:sz w:val="24"/>
        </w:rPr>
        <w:t>21</w:t>
      </w:r>
      <w:r w:rsidR="00B07852">
        <w:rPr>
          <w:rFonts w:ascii="Times New Roman" w:hAnsi="Times New Roman"/>
          <w:b/>
          <w:sz w:val="24"/>
        </w:rPr>
        <w:t>__»________</w:t>
      </w:r>
      <w:r w:rsidR="009B17D9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</w:t>
      </w:r>
      <w:r w:rsidR="00373FBA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</w:t>
      </w:r>
      <w:r w:rsidR="005A5EAF">
        <w:rPr>
          <w:rFonts w:ascii="Times New Roman" w:hAnsi="Times New Roman"/>
          <w:b/>
          <w:sz w:val="24"/>
        </w:rPr>
        <w:t>охранных</w:t>
      </w:r>
      <w:r w:rsidR="00B244D0" w:rsidRPr="006042B0">
        <w:rPr>
          <w:rFonts w:ascii="Times New Roman" w:hAnsi="Times New Roman"/>
          <w:b/>
          <w:sz w:val="24"/>
        </w:rPr>
        <w:t xml:space="preserve">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3816B5" w:rsidRPr="005A5EAF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5A5EAF">
        <w:rPr>
          <w:rFonts w:ascii="Times New Roman" w:hAnsi="Times New Roman"/>
          <w:b/>
          <w:sz w:val="24"/>
        </w:rPr>
        <w:t>Отбор проводится в два этапа: оценка технической части оферт и оценка коммерч</w:t>
      </w:r>
      <w:r w:rsidRPr="005A5EAF">
        <w:rPr>
          <w:rFonts w:ascii="Times New Roman" w:hAnsi="Times New Roman"/>
          <w:b/>
          <w:sz w:val="24"/>
        </w:rPr>
        <w:t>е</w:t>
      </w:r>
      <w:r w:rsidRPr="005A5EAF">
        <w:rPr>
          <w:rFonts w:ascii="Times New Roman" w:hAnsi="Times New Roman"/>
          <w:b/>
          <w:sz w:val="24"/>
        </w:rPr>
        <w:t>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</w:t>
      </w:r>
      <w:r w:rsidR="00494812">
        <w:rPr>
          <w:rFonts w:ascii="Times New Roman" w:hAnsi="Times New Roman" w:cs="Times New Roman"/>
          <w:sz w:val="24"/>
          <w:szCs w:val="24"/>
        </w:rPr>
        <w:t>запрошены улучшения оферт</w:t>
      </w:r>
      <w:r w:rsidRPr="003816B5">
        <w:rPr>
          <w:rFonts w:ascii="Times New Roman" w:hAnsi="Times New Roman" w:cs="Times New Roman"/>
          <w:sz w:val="24"/>
          <w:szCs w:val="24"/>
        </w:rPr>
        <w:t>.  О п</w:t>
      </w:r>
      <w:r w:rsidRPr="003816B5">
        <w:rPr>
          <w:rFonts w:ascii="Times New Roman" w:hAnsi="Times New Roman" w:cs="Times New Roman"/>
          <w:sz w:val="24"/>
          <w:szCs w:val="24"/>
        </w:rPr>
        <w:t>о</w:t>
      </w:r>
      <w:r w:rsidRPr="003816B5">
        <w:rPr>
          <w:rFonts w:ascii="Times New Roman" w:hAnsi="Times New Roman" w:cs="Times New Roman"/>
          <w:sz w:val="24"/>
          <w:szCs w:val="24"/>
        </w:rPr>
        <w:t>рядке и сроках проведения коммерческих переговоров участники закупки</w:t>
      </w:r>
      <w:r w:rsidR="00C952C3">
        <w:rPr>
          <w:rFonts w:ascii="Times New Roman" w:hAnsi="Times New Roman" w:cs="Times New Roman"/>
          <w:sz w:val="24"/>
          <w:szCs w:val="24"/>
        </w:rPr>
        <w:t xml:space="preserve"> будут оповещены д</w:t>
      </w:r>
      <w:r w:rsidR="00C952C3">
        <w:rPr>
          <w:rFonts w:ascii="Times New Roman" w:hAnsi="Times New Roman" w:cs="Times New Roman"/>
          <w:sz w:val="24"/>
          <w:szCs w:val="24"/>
        </w:rPr>
        <w:t>о</w:t>
      </w:r>
      <w:r w:rsidR="00C952C3">
        <w:rPr>
          <w:rFonts w:ascii="Times New Roman" w:hAnsi="Times New Roman" w:cs="Times New Roman"/>
          <w:sz w:val="24"/>
          <w:szCs w:val="24"/>
        </w:rPr>
        <w:t>полнительно.</w:t>
      </w:r>
    </w:p>
    <w:p w:rsidR="005A5EAF" w:rsidRDefault="005A5EAF" w:rsidP="005A5EAF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</w:t>
      </w:r>
      <w:r w:rsidR="00494812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5A5EAF" w:rsidRPr="005A5EAF" w:rsidRDefault="005A5EAF" w:rsidP="005A5EAF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</w:t>
      </w:r>
      <w:r w:rsidR="005A5EAF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5A5EAF">
        <w:rPr>
          <w:rFonts w:ascii="Times New Roman" w:hAnsi="Times New Roman"/>
          <w:bCs/>
          <w:sz w:val="24"/>
        </w:rPr>
        <w:t>1</w:t>
      </w:r>
      <w:r w:rsidR="0098015A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5A5EAF">
        <w:rPr>
          <w:rFonts w:ascii="Times New Roman" w:hAnsi="Times New Roman"/>
          <w:sz w:val="24"/>
        </w:rPr>
        <w:t>3.</w:t>
      </w:r>
      <w:r w:rsidR="00373FBA">
        <w:rPr>
          <w:rFonts w:ascii="Times New Roman" w:hAnsi="Times New Roman"/>
          <w:sz w:val="24"/>
        </w:rPr>
        <w:t>7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«__</w:t>
      </w:r>
      <w:r w:rsidR="009B17D9">
        <w:rPr>
          <w:rFonts w:ascii="Times New Roman" w:hAnsi="Times New Roman"/>
          <w:b/>
          <w:sz w:val="24"/>
        </w:rPr>
        <w:t>21</w:t>
      </w:r>
      <w:r w:rsidRPr="003816B5">
        <w:rPr>
          <w:rFonts w:ascii="Times New Roman" w:hAnsi="Times New Roman"/>
          <w:b/>
          <w:sz w:val="24"/>
        </w:rPr>
        <w:t>__» ________</w:t>
      </w:r>
      <w:r w:rsidR="009B17D9">
        <w:rPr>
          <w:rFonts w:ascii="Times New Roman" w:hAnsi="Times New Roman"/>
          <w:b/>
          <w:sz w:val="24"/>
        </w:rPr>
        <w:t>07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373FB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«__</w:t>
      </w:r>
      <w:r w:rsidR="009B17D9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>__» ___</w:t>
      </w:r>
      <w:r w:rsidR="009B17D9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____________ </w:t>
      </w:r>
      <w:r w:rsidR="00373FB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D4011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373FB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</w:t>
      </w:r>
      <w:r w:rsidR="00373FBA" w:rsidRPr="003816B5">
        <w:rPr>
          <w:rFonts w:ascii="Times New Roman" w:hAnsi="Times New Roman"/>
          <w:b/>
          <w:sz w:val="24"/>
        </w:rPr>
        <w:t>размещёнными</w:t>
      </w:r>
      <w:r w:rsidRPr="003816B5">
        <w:rPr>
          <w:rFonts w:ascii="Times New Roman" w:hAnsi="Times New Roman"/>
          <w:b/>
          <w:sz w:val="24"/>
        </w:rPr>
        <w:t xml:space="preserve">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0A0CB0">
        <w:rPr>
          <w:rFonts w:ascii="Times New Roman" w:hAnsi="Times New Roman"/>
          <w:b/>
          <w:sz w:val="24"/>
        </w:rPr>
        <w:t>«Предложение на №</w:t>
      </w:r>
      <w:r w:rsidR="00494812">
        <w:rPr>
          <w:rFonts w:ascii="Times New Roman" w:hAnsi="Times New Roman"/>
          <w:b/>
          <w:sz w:val="24"/>
        </w:rPr>
        <w:t>324</w:t>
      </w:r>
      <w:r w:rsidR="00732F70" w:rsidRPr="00732F70">
        <w:rPr>
          <w:rFonts w:ascii="Times New Roman" w:hAnsi="Times New Roman"/>
          <w:b/>
          <w:sz w:val="24"/>
        </w:rPr>
        <w:t>/ТК/</w:t>
      </w:r>
      <w:r w:rsidR="00373FBA">
        <w:rPr>
          <w:rFonts w:ascii="Times New Roman" w:hAnsi="Times New Roman"/>
          <w:b/>
          <w:sz w:val="24"/>
        </w:rPr>
        <w:t>2015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5A5EAF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5A5EAF">
        <w:rPr>
          <w:rFonts w:ascii="Times New Roman" w:hAnsi="Times New Roman"/>
          <w:sz w:val="24"/>
        </w:rPr>
        <w:t>з</w:t>
      </w:r>
      <w:r w:rsidRPr="005A5EAF">
        <w:rPr>
          <w:rFonts w:ascii="Times New Roman" w:hAnsi="Times New Roman"/>
          <w:sz w:val="24"/>
        </w:rPr>
        <w:t xml:space="preserve">ных конвертах. </w:t>
      </w:r>
      <w:r w:rsidRPr="005A5EA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A5EAF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A5EAF">
        <w:rPr>
          <w:rFonts w:ascii="Times New Roman" w:hAnsi="Times New Roman"/>
          <w:sz w:val="24"/>
          <w:u w:val="single"/>
        </w:rPr>
        <w:t xml:space="preserve"> </w:t>
      </w:r>
      <w:r w:rsidRPr="005A5EA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A5EAF">
        <w:rPr>
          <w:rFonts w:ascii="Times New Roman" w:hAnsi="Times New Roman"/>
          <w:sz w:val="24"/>
          <w:u w:val="single"/>
        </w:rPr>
        <w:t xml:space="preserve"> с описью.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5A5EAF">
        <w:rPr>
          <w:rFonts w:ascii="Times New Roman" w:hAnsi="Times New Roman"/>
          <w:sz w:val="24"/>
        </w:rPr>
        <w:t xml:space="preserve">Участник передает </w:t>
      </w:r>
      <w:r w:rsidRPr="005A5EAF">
        <w:rPr>
          <w:rFonts w:ascii="Times New Roman" w:hAnsi="Times New Roman"/>
          <w:b/>
          <w:sz w:val="24"/>
        </w:rPr>
        <w:t>четыре конверта</w:t>
      </w:r>
      <w:r w:rsidRPr="005A5EAF">
        <w:rPr>
          <w:rFonts w:ascii="Times New Roman" w:hAnsi="Times New Roman"/>
          <w:sz w:val="24"/>
        </w:rPr>
        <w:t xml:space="preserve"> документов: </w:t>
      </w:r>
      <w:r w:rsidRPr="005A5EAF">
        <w:rPr>
          <w:rFonts w:ascii="Times New Roman" w:hAnsi="Times New Roman"/>
          <w:b/>
          <w:sz w:val="24"/>
        </w:rPr>
        <w:t>первый конверт (техническая часть)</w:t>
      </w:r>
      <w:r w:rsidRPr="005A5EA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5A5EAF">
        <w:rPr>
          <w:rFonts w:ascii="Times New Roman" w:hAnsi="Times New Roman"/>
          <w:sz w:val="24"/>
        </w:rPr>
        <w:t>р</w:t>
      </w:r>
      <w:r w:rsidRPr="005A5EAF">
        <w:rPr>
          <w:rFonts w:ascii="Times New Roman" w:hAnsi="Times New Roman"/>
          <w:sz w:val="24"/>
        </w:rPr>
        <w:t xml:space="preserve">ждающие соответствие подрядной организации требованиям критериев технической оценки оферт на </w:t>
      </w:r>
      <w:r w:rsidR="000F1587">
        <w:rPr>
          <w:rFonts w:ascii="Times New Roman" w:hAnsi="Times New Roman"/>
          <w:sz w:val="24"/>
        </w:rPr>
        <w:t>оказание услуг</w:t>
      </w:r>
      <w:r w:rsidRPr="005A5EAF">
        <w:rPr>
          <w:rFonts w:ascii="Times New Roman" w:hAnsi="Times New Roman"/>
          <w:sz w:val="24"/>
        </w:rPr>
        <w:t xml:space="preserve"> по типу сделки №</w:t>
      </w:r>
      <w:r>
        <w:rPr>
          <w:rFonts w:ascii="Times New Roman" w:hAnsi="Times New Roman"/>
          <w:sz w:val="24"/>
        </w:rPr>
        <w:t>1902</w:t>
      </w:r>
      <w:r w:rsidRPr="005A5EAF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Охрана производственных объектов и АБК</w:t>
      </w:r>
      <w:r w:rsidRPr="005A5EAF">
        <w:rPr>
          <w:rFonts w:ascii="Times New Roman" w:hAnsi="Times New Roman"/>
          <w:sz w:val="24"/>
        </w:rPr>
        <w:t>» (в соотве</w:t>
      </w:r>
      <w:r w:rsidRPr="005A5EAF">
        <w:rPr>
          <w:rFonts w:ascii="Times New Roman" w:hAnsi="Times New Roman"/>
          <w:sz w:val="24"/>
        </w:rPr>
        <w:t>т</w:t>
      </w:r>
      <w:r w:rsidRPr="005A5EAF">
        <w:rPr>
          <w:rFonts w:ascii="Times New Roman" w:hAnsi="Times New Roman"/>
          <w:sz w:val="24"/>
        </w:rPr>
        <w:t xml:space="preserve">ствии с Формой </w:t>
      </w:r>
      <w:r>
        <w:rPr>
          <w:rFonts w:ascii="Times New Roman" w:hAnsi="Times New Roman"/>
          <w:sz w:val="24"/>
        </w:rPr>
        <w:t>1</w:t>
      </w:r>
      <w:r w:rsidR="0098015A">
        <w:rPr>
          <w:rFonts w:ascii="Times New Roman" w:hAnsi="Times New Roman"/>
          <w:sz w:val="24"/>
        </w:rPr>
        <w:t>0</w:t>
      </w:r>
      <w:r w:rsidRPr="005A5EAF">
        <w:rPr>
          <w:rFonts w:ascii="Times New Roman" w:hAnsi="Times New Roman"/>
          <w:sz w:val="24"/>
        </w:rPr>
        <w:t xml:space="preserve">) (без указания сумм, цен и т.п.), </w:t>
      </w:r>
      <w:r w:rsidRPr="005A5E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A5EAF">
        <w:rPr>
          <w:rFonts w:ascii="Times New Roman" w:hAnsi="Times New Roman"/>
          <w:sz w:val="24"/>
        </w:rPr>
        <w:t>с</w:t>
      </w:r>
      <w:r w:rsidRPr="005A5EAF">
        <w:rPr>
          <w:rFonts w:ascii="Times New Roman" w:hAnsi="Times New Roman"/>
          <w:sz w:val="24"/>
        </w:rPr>
        <w:t>о</w:t>
      </w:r>
      <w:r w:rsidRPr="005A5EAF">
        <w:rPr>
          <w:rFonts w:ascii="Times New Roman" w:hAnsi="Times New Roman"/>
          <w:sz w:val="24"/>
        </w:rPr>
        <w:t>держащий копии документов, находящихся</w:t>
      </w:r>
      <w:proofErr w:type="gramEnd"/>
      <w:r w:rsidRPr="005A5EAF">
        <w:rPr>
          <w:rFonts w:ascii="Times New Roman" w:hAnsi="Times New Roman"/>
          <w:sz w:val="24"/>
        </w:rPr>
        <w:t xml:space="preserve"> </w:t>
      </w:r>
      <w:proofErr w:type="gramStart"/>
      <w:r w:rsidRPr="005A5EAF">
        <w:rPr>
          <w:rFonts w:ascii="Times New Roman" w:hAnsi="Times New Roman"/>
          <w:sz w:val="24"/>
        </w:rPr>
        <w:t xml:space="preserve">в первом конверте», </w:t>
      </w:r>
      <w:r w:rsidRPr="005A5EAF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5A5E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</w:t>
      </w:r>
      <w:r w:rsidRPr="005A5EAF">
        <w:rPr>
          <w:rFonts w:ascii="Times New Roman" w:hAnsi="Times New Roman"/>
          <w:sz w:val="24"/>
        </w:rPr>
        <w:t>т</w:t>
      </w:r>
      <w:r w:rsidRPr="005A5EAF">
        <w:rPr>
          <w:rFonts w:ascii="Times New Roman" w:hAnsi="Times New Roman"/>
          <w:sz w:val="24"/>
        </w:rPr>
        <w:t>ствии с Требованиями к предмету о</w:t>
      </w:r>
      <w:r w:rsidR="00373FBA">
        <w:rPr>
          <w:rFonts w:ascii="Times New Roman" w:hAnsi="Times New Roman"/>
          <w:sz w:val="24"/>
        </w:rPr>
        <w:t>ферты (Форма 5)</w:t>
      </w:r>
      <w:r w:rsidRPr="005A5EAF">
        <w:rPr>
          <w:rFonts w:ascii="Times New Roman" w:hAnsi="Times New Roman"/>
          <w:sz w:val="24"/>
        </w:rPr>
        <w:t xml:space="preserve">, перечень аффилированных организаций (Форма 7), заполненная и подписанная </w:t>
      </w:r>
      <w:r w:rsidRPr="005A5EAF">
        <w:rPr>
          <w:rFonts w:ascii="Times New Roman" w:hAnsi="Times New Roman"/>
          <w:bCs/>
          <w:sz w:val="24"/>
        </w:rPr>
        <w:t>калькуляция на производство единицы работ с расшифро</w:t>
      </w:r>
      <w:r w:rsidRPr="005A5EAF">
        <w:rPr>
          <w:rFonts w:ascii="Times New Roman" w:hAnsi="Times New Roman"/>
          <w:bCs/>
          <w:sz w:val="24"/>
        </w:rPr>
        <w:t>в</w:t>
      </w:r>
      <w:r w:rsidRPr="005A5EAF">
        <w:rPr>
          <w:rFonts w:ascii="Times New Roman" w:hAnsi="Times New Roman"/>
          <w:bCs/>
          <w:sz w:val="24"/>
        </w:rPr>
        <w:t>кой по статьям затрат</w:t>
      </w:r>
      <w:r w:rsidRPr="005A5EAF">
        <w:rPr>
          <w:rFonts w:ascii="Times New Roman" w:hAnsi="Times New Roman"/>
          <w:sz w:val="24"/>
        </w:rPr>
        <w:t xml:space="preserve"> (Форма 8);</w:t>
      </w:r>
      <w:proofErr w:type="gramEnd"/>
      <w:r w:rsidRPr="005A5EAF">
        <w:rPr>
          <w:rFonts w:ascii="Times New Roman" w:hAnsi="Times New Roman"/>
          <w:sz w:val="24"/>
        </w:rPr>
        <w:t xml:space="preserve"> </w:t>
      </w:r>
      <w:r w:rsidRPr="005A5E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A5E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sz w:val="24"/>
        </w:rPr>
        <w:t xml:space="preserve">В конверт с пометкой «Оригинал» </w:t>
      </w:r>
      <w:r w:rsidRPr="005A5EAF">
        <w:rPr>
          <w:rFonts w:ascii="Times New Roman" w:hAnsi="Times New Roman"/>
          <w:sz w:val="24"/>
          <w:u w:val="single"/>
        </w:rPr>
        <w:t>коммерческой</w:t>
      </w:r>
      <w:r w:rsidRPr="005A5EAF">
        <w:rPr>
          <w:rFonts w:ascii="Times New Roman" w:hAnsi="Times New Roman"/>
          <w:sz w:val="24"/>
        </w:rPr>
        <w:t xml:space="preserve"> части вкладывается диск с электронной версией Формы 4 («Таблица цен») и отсканированными оригиналами документов (содержащим</w:t>
      </w:r>
      <w:r w:rsidRPr="005A5EAF">
        <w:rPr>
          <w:rFonts w:ascii="Times New Roman" w:hAnsi="Times New Roman"/>
          <w:sz w:val="24"/>
        </w:rPr>
        <w:t>и</w:t>
      </w:r>
      <w:r w:rsidRPr="005A5EAF">
        <w:rPr>
          <w:rFonts w:ascii="Times New Roman" w:hAnsi="Times New Roman"/>
          <w:sz w:val="24"/>
        </w:rPr>
        <w:t>ся в конверте). Документы в конверте с пометкой «Оригинал» (коммерческой части) являются официальной офертой.</w:t>
      </w:r>
    </w:p>
    <w:p w:rsidR="005A5EAF" w:rsidRPr="005A5EAF" w:rsidRDefault="005A5EAF" w:rsidP="005A5EAF">
      <w:pPr>
        <w:ind w:firstLine="708"/>
        <w:jc w:val="both"/>
        <w:rPr>
          <w:rFonts w:ascii="Times New Roman" w:hAnsi="Times New Roman"/>
          <w:sz w:val="24"/>
        </w:rPr>
      </w:pPr>
      <w:r w:rsidRPr="005A5EAF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«___</w:t>
      </w:r>
      <w:r w:rsidR="009B17D9">
        <w:rPr>
          <w:rFonts w:ascii="Times New Roman" w:hAnsi="Times New Roman"/>
          <w:sz w:val="24"/>
        </w:rPr>
        <w:t>29</w:t>
      </w:r>
      <w:r w:rsidRPr="0056778A">
        <w:rPr>
          <w:rFonts w:ascii="Times New Roman" w:hAnsi="Times New Roman"/>
          <w:sz w:val="24"/>
        </w:rPr>
        <w:t>_» _______</w:t>
      </w:r>
      <w:r w:rsidR="009B17D9">
        <w:rPr>
          <w:rFonts w:ascii="Times New Roman" w:hAnsi="Times New Roman"/>
          <w:sz w:val="24"/>
        </w:rPr>
        <w:t>07</w:t>
      </w:r>
      <w:r w:rsidRPr="0056778A">
        <w:rPr>
          <w:rFonts w:ascii="Times New Roman" w:hAnsi="Times New Roman"/>
          <w:sz w:val="24"/>
        </w:rPr>
        <w:t>___________</w:t>
      </w:r>
      <w:r w:rsidR="00373FBA">
        <w:rPr>
          <w:rFonts w:ascii="Times New Roman" w:hAnsi="Times New Roman"/>
          <w:sz w:val="24"/>
        </w:rPr>
        <w:t>2015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</w:t>
      </w:r>
      <w:r w:rsidRPr="003816B5">
        <w:rPr>
          <w:rFonts w:ascii="Times New Roman" w:hAnsi="Times New Roman"/>
          <w:sz w:val="24"/>
        </w:rPr>
        <w:t>ъ</w:t>
      </w:r>
      <w:r w:rsidRPr="003816B5">
        <w:rPr>
          <w:rFonts w:ascii="Times New Roman" w:hAnsi="Times New Roman"/>
          <w:sz w:val="24"/>
        </w:rPr>
        <w:t>яснениями вместе с указанием сути поступившего запроса одновременно будет доведен до свед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871E0A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ТишкинАлександр</w:t>
      </w:r>
      <w:proofErr w:type="spellEnd"/>
      <w:r>
        <w:rPr>
          <w:rFonts w:ascii="Times New Roman" w:hAnsi="Times New Roman"/>
          <w:sz w:val="24"/>
        </w:rPr>
        <w:t xml:space="preserve"> Викторович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2-072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TishkinAV</w:t>
        </w:r>
        <w:r w:rsidR="009A366D" w:rsidRPr="008349CC">
          <w:rPr>
            <w:rStyle w:val="aa"/>
            <w:rFonts w:ascii="Times New Roman" w:hAnsi="Times New Roman"/>
            <w:sz w:val="24"/>
          </w:rPr>
          <w:t>@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9A366D" w:rsidRPr="008349CC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9A366D" w:rsidRPr="008349CC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Pr="003816B5" w:rsidRDefault="00373FB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A1066B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98015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373FBA" w:rsidRDefault="00373FBA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94812">
        <w:rPr>
          <w:rFonts w:ascii="Times New Roman" w:hAnsi="Times New Roman"/>
          <w:b/>
          <w:sz w:val="24"/>
        </w:rPr>
        <w:t>324</w:t>
      </w:r>
      <w:r w:rsidR="00732F70">
        <w:rPr>
          <w:rFonts w:ascii="Times New Roman" w:hAnsi="Times New Roman"/>
          <w:b/>
          <w:sz w:val="24"/>
        </w:rPr>
        <w:t>/ТК/</w:t>
      </w:r>
      <w:r w:rsidR="00373FBA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9B17D9">
        <w:rPr>
          <w:rFonts w:ascii="Times New Roman" w:hAnsi="Times New Roman"/>
          <w:b/>
          <w:sz w:val="24"/>
        </w:rPr>
        <w:t>21</w:t>
      </w:r>
      <w:r w:rsidR="00B07852">
        <w:rPr>
          <w:rFonts w:ascii="Times New Roman" w:hAnsi="Times New Roman"/>
          <w:b/>
          <w:sz w:val="24"/>
        </w:rPr>
        <w:t>__»_____</w:t>
      </w:r>
      <w:r w:rsidR="009B17D9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________</w:t>
      </w:r>
      <w:r w:rsidR="00373FBA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9B17D9">
        <w:rPr>
          <w:rFonts w:ascii="Times New Roman" w:hAnsi="Times New Roman"/>
          <w:b/>
          <w:sz w:val="24"/>
        </w:rPr>
        <w:t>324/ТК/2015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9B17D9">
        <w:rPr>
          <w:rFonts w:ascii="Times New Roman" w:hAnsi="Times New Roman"/>
          <w:b/>
          <w:sz w:val="24"/>
        </w:rPr>
        <w:t>21</w:t>
      </w:r>
      <w:r w:rsidR="00B07852">
        <w:rPr>
          <w:rFonts w:ascii="Times New Roman" w:hAnsi="Times New Roman"/>
          <w:b/>
          <w:sz w:val="24"/>
        </w:rPr>
        <w:t>__»_____</w:t>
      </w:r>
      <w:r w:rsidR="009B17D9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__________</w:t>
      </w:r>
      <w:r w:rsidR="00373FBA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9A366D">
        <w:rPr>
          <w:rFonts w:ascii="Times New Roman" w:hAnsi="Times New Roman"/>
          <w:b/>
          <w:sz w:val="24"/>
        </w:rPr>
        <w:t>охра</w:t>
      </w:r>
      <w:r w:rsidR="009A366D">
        <w:rPr>
          <w:rFonts w:ascii="Times New Roman" w:hAnsi="Times New Roman"/>
          <w:b/>
          <w:sz w:val="24"/>
        </w:rPr>
        <w:t>н</w:t>
      </w:r>
      <w:r w:rsidR="009A366D">
        <w:rPr>
          <w:rFonts w:ascii="Times New Roman" w:hAnsi="Times New Roman"/>
          <w:b/>
          <w:sz w:val="24"/>
        </w:rPr>
        <w:t>ных</w:t>
      </w:r>
      <w:r w:rsidR="00E6466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 xml:space="preserve">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373FBA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9A366D">
        <w:rPr>
          <w:rFonts w:ascii="Times New Roman" w:hAnsi="Times New Roman"/>
          <w:b/>
          <w:sz w:val="24"/>
        </w:rPr>
        <w:t>охранных</w:t>
      </w:r>
      <w:r w:rsidR="00203AE2" w:rsidRPr="00D85169">
        <w:rPr>
          <w:rFonts w:ascii="Times New Roman" w:hAnsi="Times New Roman"/>
          <w:b/>
          <w:sz w:val="24"/>
        </w:rPr>
        <w:t xml:space="preserve">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373FB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373FBA" w:rsidRPr="00E551E0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A366D" w:rsidRPr="004C4027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4C402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C4027">
              <w:rPr>
                <w:rFonts w:ascii="Times New Roman" w:hAnsi="Times New Roman"/>
                <w:sz w:val="24"/>
              </w:rPr>
              <w:t xml:space="preserve"> от Исполнителя ор</w:t>
            </w:r>
            <w:r w:rsidRPr="004C4027">
              <w:rPr>
                <w:rFonts w:ascii="Times New Roman" w:hAnsi="Times New Roman"/>
                <w:sz w:val="24"/>
              </w:rPr>
              <w:t>и</w:t>
            </w:r>
            <w:r w:rsidRPr="004C4027">
              <w:rPr>
                <w:rFonts w:ascii="Times New Roman" w:hAnsi="Times New Roman"/>
                <w:sz w:val="24"/>
              </w:rPr>
              <w:t>гиналов следующих документов:</w:t>
            </w:r>
          </w:p>
          <w:p w:rsidR="009A366D" w:rsidRPr="004C4027" w:rsidRDefault="009A366D" w:rsidP="009A366D">
            <w:pPr>
              <w:jc w:val="both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акта на оказание охранных услуг;</w:t>
            </w:r>
          </w:p>
          <w:p w:rsidR="00902E02" w:rsidRPr="006C0D37" w:rsidRDefault="009A366D" w:rsidP="009A366D">
            <w:pPr>
              <w:pStyle w:val="ad"/>
              <w:rPr>
                <w:rFonts w:ascii="Times New Roman" w:hAnsi="Times New Roman"/>
                <w:sz w:val="24"/>
              </w:rPr>
            </w:pPr>
            <w:r w:rsidRPr="004C4027">
              <w:rPr>
                <w:rFonts w:ascii="Times New Roman" w:hAnsi="Times New Roman"/>
                <w:sz w:val="24"/>
              </w:rPr>
              <w:t>- счет -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</w:t>
      </w:r>
      <w:r w:rsidR="00373FBA">
        <w:rPr>
          <w:rFonts w:ascii="Times New Roman" w:hAnsi="Times New Roman"/>
          <w:sz w:val="24"/>
        </w:rPr>
        <w:t>2015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98015A" w:rsidRDefault="0098015A" w:rsidP="00ED7A97">
      <w:pPr>
        <w:jc w:val="center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0A0CB0" w:rsidRPr="00580A9C" w:rsidRDefault="000A0CB0" w:rsidP="00ED7A97">
      <w:pPr>
        <w:jc w:val="center"/>
        <w:rPr>
          <w:rFonts w:ascii="Times New Roman" w:hAnsi="Times New Roman"/>
          <w:b/>
          <w:sz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992"/>
        <w:gridCol w:w="851"/>
        <w:gridCol w:w="850"/>
        <w:gridCol w:w="1276"/>
        <w:gridCol w:w="1134"/>
        <w:gridCol w:w="1134"/>
        <w:gridCol w:w="1701"/>
        <w:gridCol w:w="1984"/>
        <w:gridCol w:w="2268"/>
      </w:tblGrid>
      <w:tr w:rsidR="00AD45BE" w:rsidRPr="00732F70" w:rsidTr="00F12463">
        <w:trPr>
          <w:cantSplit/>
          <w:trHeight w:val="440"/>
        </w:trPr>
        <w:tc>
          <w:tcPr>
            <w:tcW w:w="675" w:type="dxa"/>
            <w:vAlign w:val="center"/>
          </w:tcPr>
          <w:p w:rsidR="00AD45BE" w:rsidRPr="00AD45BE" w:rsidRDefault="00AD45BE" w:rsidP="00AD45BE">
            <w:pPr>
              <w:ind w:left="-142" w:right="-34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Год</w:t>
            </w:r>
          </w:p>
        </w:tc>
        <w:tc>
          <w:tcPr>
            <w:tcW w:w="2552" w:type="dxa"/>
            <w:vAlign w:val="center"/>
          </w:tcPr>
          <w:p w:rsidR="00AD45BE" w:rsidRPr="00732F70" w:rsidRDefault="00AD45BE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(лота)</w:t>
            </w:r>
          </w:p>
        </w:tc>
        <w:tc>
          <w:tcPr>
            <w:tcW w:w="992" w:type="dxa"/>
            <w:vAlign w:val="center"/>
          </w:tcPr>
          <w:p w:rsidR="00AD45BE" w:rsidRPr="00732F70" w:rsidRDefault="00AD45BE" w:rsidP="00ED7A97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851" w:type="dxa"/>
            <w:vAlign w:val="center"/>
          </w:tcPr>
          <w:p w:rsidR="00AD45BE" w:rsidRDefault="00AD45BE" w:rsidP="00AD45B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ЕИ</w:t>
            </w:r>
          </w:p>
        </w:tc>
        <w:tc>
          <w:tcPr>
            <w:tcW w:w="850" w:type="dxa"/>
            <w:vAlign w:val="center"/>
          </w:tcPr>
          <w:p w:rsidR="00AD45BE" w:rsidRDefault="00AD45BE" w:rsidP="00AD45B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Вид услуги</w:t>
            </w:r>
          </w:p>
        </w:tc>
        <w:tc>
          <w:tcPr>
            <w:tcW w:w="1276" w:type="dxa"/>
            <w:vAlign w:val="center"/>
          </w:tcPr>
          <w:p w:rsidR="00AD45BE" w:rsidRDefault="00AD45BE" w:rsidP="00AD45BE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Время охраны</w:t>
            </w:r>
          </w:p>
        </w:tc>
        <w:tc>
          <w:tcPr>
            <w:tcW w:w="1134" w:type="dxa"/>
            <w:vAlign w:val="center"/>
          </w:tcPr>
          <w:p w:rsidR="00F12463" w:rsidRDefault="00AD45BE" w:rsidP="00F12463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Кол-во </w:t>
            </w:r>
          </w:p>
          <w:p w:rsidR="00F12463" w:rsidRDefault="00AD45BE" w:rsidP="00F12463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работников</w:t>
            </w:r>
          </w:p>
          <w:p w:rsidR="00F12463" w:rsidRDefault="00AD45BE" w:rsidP="00F12463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в смену</w:t>
            </w:r>
          </w:p>
        </w:tc>
        <w:tc>
          <w:tcPr>
            <w:tcW w:w="1134" w:type="dxa"/>
            <w:vAlign w:val="center"/>
          </w:tcPr>
          <w:p w:rsidR="00AD45BE" w:rsidRDefault="00F12463" w:rsidP="00F12463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Объем охранных услуг, час.</w:t>
            </w:r>
          </w:p>
        </w:tc>
        <w:tc>
          <w:tcPr>
            <w:tcW w:w="1701" w:type="dxa"/>
            <w:vAlign w:val="center"/>
          </w:tcPr>
          <w:p w:rsidR="00AD45BE" w:rsidRPr="00732F70" w:rsidRDefault="00AD45BE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, руб. </w:t>
            </w:r>
          </w:p>
        </w:tc>
        <w:tc>
          <w:tcPr>
            <w:tcW w:w="1984" w:type="dxa"/>
            <w:vAlign w:val="center"/>
          </w:tcPr>
          <w:p w:rsidR="00AD45BE" w:rsidRPr="00732F70" w:rsidRDefault="00AD45BE" w:rsidP="00732F7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2268" w:type="dxa"/>
            <w:vAlign w:val="center"/>
          </w:tcPr>
          <w:p w:rsidR="00AD45BE" w:rsidRPr="00732F70" w:rsidRDefault="00AD45BE" w:rsidP="00B15BD1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AD45BE" w:rsidRPr="00580A9C" w:rsidTr="00F12463">
        <w:trPr>
          <w:trHeight w:val="397"/>
        </w:trPr>
        <w:tc>
          <w:tcPr>
            <w:tcW w:w="675" w:type="dxa"/>
            <w:vMerge w:val="restart"/>
            <w:vAlign w:val="center"/>
          </w:tcPr>
          <w:p w:rsidR="00AD45BE" w:rsidRPr="00AD45BE" w:rsidRDefault="00AD45BE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2015</w:t>
            </w:r>
          </w:p>
        </w:tc>
        <w:tc>
          <w:tcPr>
            <w:tcW w:w="2552" w:type="dxa"/>
            <w:vMerge w:val="restart"/>
            <w:vAlign w:val="center"/>
          </w:tcPr>
          <w:p w:rsidR="00AD45BE" w:rsidRPr="00580A9C" w:rsidRDefault="00AD45BE" w:rsidP="0098015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Ватинское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НГДУ, ЦППН-2</w:t>
            </w:r>
          </w:p>
        </w:tc>
        <w:tc>
          <w:tcPr>
            <w:tcW w:w="992" w:type="dxa"/>
            <w:vMerge w:val="restart"/>
            <w:vAlign w:val="center"/>
          </w:tcPr>
          <w:p w:rsidR="00AD45BE" w:rsidRDefault="00AD45BE" w:rsidP="00AD45BE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ОАО</w:t>
            </w:r>
          </w:p>
          <w:p w:rsidR="00AD45BE" w:rsidRPr="00580A9C" w:rsidRDefault="00AD45BE" w:rsidP="00AD45BE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0A9C">
              <w:rPr>
                <w:rFonts w:ascii="Times New Roman" w:hAnsi="Times New Roman"/>
                <w:color w:val="000000"/>
                <w:sz w:val="18"/>
                <w:szCs w:val="18"/>
              </w:rPr>
              <w:t>"СН-МНГ</w:t>
            </w:r>
          </w:p>
        </w:tc>
        <w:tc>
          <w:tcPr>
            <w:tcW w:w="851" w:type="dxa"/>
            <w:vAlign w:val="center"/>
          </w:tcPr>
          <w:p w:rsidR="00AD45BE" w:rsidRPr="00AD45BE" w:rsidRDefault="00AD45BE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AD45BE" w:rsidRPr="00AD45BE" w:rsidRDefault="00AD45BE" w:rsidP="00AD45B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AD45BE" w:rsidRPr="00AD45BE" w:rsidRDefault="00AD45BE" w:rsidP="00AD45BE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2928</w:t>
            </w:r>
          </w:p>
        </w:tc>
        <w:tc>
          <w:tcPr>
            <w:tcW w:w="1701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D45BE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AD45BE" w:rsidRDefault="00AD45BE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Merge/>
            <w:vAlign w:val="center"/>
          </w:tcPr>
          <w:p w:rsidR="00AD45BE" w:rsidRPr="008F1D6F" w:rsidRDefault="00AD45BE" w:rsidP="0098015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D45BE" w:rsidRPr="00580A9C" w:rsidRDefault="00AD45BE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D45BE" w:rsidRDefault="00AD45BE" w:rsidP="00F12463">
            <w:pPr>
              <w:ind w:left="-108" w:right="-108"/>
              <w:jc w:val="center"/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AD45BE" w:rsidRPr="00AD45BE" w:rsidRDefault="00AD45BE" w:rsidP="00AD45B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экипаж</w:t>
            </w:r>
          </w:p>
        </w:tc>
        <w:tc>
          <w:tcPr>
            <w:tcW w:w="1276" w:type="dxa"/>
          </w:tcPr>
          <w:p w:rsidR="00AD45BE" w:rsidRPr="00AD45BE" w:rsidRDefault="00AD45BE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2928</w:t>
            </w:r>
          </w:p>
        </w:tc>
        <w:tc>
          <w:tcPr>
            <w:tcW w:w="1701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D45BE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AD45BE" w:rsidRDefault="00AD45BE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Align w:val="center"/>
          </w:tcPr>
          <w:p w:rsidR="00AD45BE" w:rsidRDefault="00AD45BE" w:rsidP="0098015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УМТС, склад метанола</w:t>
            </w:r>
          </w:p>
        </w:tc>
        <w:tc>
          <w:tcPr>
            <w:tcW w:w="992" w:type="dxa"/>
            <w:vMerge/>
            <w:vAlign w:val="center"/>
          </w:tcPr>
          <w:p w:rsidR="00AD45BE" w:rsidRPr="00580A9C" w:rsidRDefault="00AD45BE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D45BE" w:rsidRPr="00753402" w:rsidRDefault="00AD45BE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AD45BE" w:rsidRDefault="00AD45BE" w:rsidP="00AD45B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AD45BE" w:rsidRPr="00AD45BE" w:rsidRDefault="00AD45BE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134" w:type="dxa"/>
            <w:vAlign w:val="center"/>
          </w:tcPr>
          <w:p w:rsidR="00AD45BE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1464</w:t>
            </w:r>
          </w:p>
        </w:tc>
        <w:tc>
          <w:tcPr>
            <w:tcW w:w="1701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AD45BE" w:rsidRPr="00580A9C" w:rsidRDefault="00AD45BE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E67643">
        <w:trPr>
          <w:trHeight w:val="397"/>
        </w:trPr>
        <w:tc>
          <w:tcPr>
            <w:tcW w:w="3227" w:type="dxa"/>
            <w:gridSpan w:val="2"/>
            <w:vAlign w:val="center"/>
          </w:tcPr>
          <w:p w:rsidR="00F12463" w:rsidRPr="00F12463" w:rsidRDefault="00F12463" w:rsidP="00F12463">
            <w:pPr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753402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850" w:type="dxa"/>
            <w:vAlign w:val="center"/>
          </w:tcPr>
          <w:p w:rsidR="00F12463" w:rsidRDefault="00F12463" w:rsidP="00AD45BE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276" w:type="dxa"/>
          </w:tcPr>
          <w:p w:rsidR="00F12463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  <w:vAlign w:val="center"/>
          </w:tcPr>
          <w:p w:rsid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  <w:vAlign w:val="center"/>
          </w:tcPr>
          <w:p w:rsid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7320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 w:val="restart"/>
            <w:vAlign w:val="center"/>
          </w:tcPr>
          <w:p w:rsidR="00F12463" w:rsidRPr="00AD45BE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2016</w:t>
            </w:r>
          </w:p>
        </w:tc>
        <w:tc>
          <w:tcPr>
            <w:tcW w:w="2552" w:type="dxa"/>
            <w:vMerge w:val="restart"/>
            <w:vAlign w:val="center"/>
          </w:tcPr>
          <w:p w:rsidR="00F12463" w:rsidRPr="00580A9C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Ватинское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НГДУ, ЦППН-2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AD45BE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Pr="00AD45BE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17568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F12463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Merge/>
            <w:vAlign w:val="center"/>
          </w:tcPr>
          <w:p w:rsidR="00F12463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Default="00F12463" w:rsidP="00F12463">
            <w:pPr>
              <w:ind w:left="-108" w:right="-108"/>
              <w:jc w:val="center"/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Pr="00AD45BE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экипаж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17568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F12463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Align w:val="center"/>
          </w:tcPr>
          <w:p w:rsidR="00F12463" w:rsidRPr="008F1D6F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УМТС, склад метанола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753402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8784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872DE3">
        <w:trPr>
          <w:trHeight w:val="397"/>
        </w:trPr>
        <w:tc>
          <w:tcPr>
            <w:tcW w:w="3227" w:type="dxa"/>
            <w:gridSpan w:val="2"/>
            <w:vAlign w:val="center"/>
          </w:tcPr>
          <w:p w:rsidR="00F12463" w:rsidRDefault="00F12463" w:rsidP="00F124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753402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850" w:type="dxa"/>
            <w:vAlign w:val="center"/>
          </w:tcPr>
          <w:p w:rsid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276" w:type="dxa"/>
          </w:tcPr>
          <w:p w:rsidR="00F12463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  <w:vAlign w:val="center"/>
          </w:tcPr>
          <w:p w:rsid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43920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 w:val="restart"/>
            <w:vAlign w:val="center"/>
          </w:tcPr>
          <w:p w:rsidR="00F12463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2017</w:t>
            </w:r>
          </w:p>
        </w:tc>
        <w:tc>
          <w:tcPr>
            <w:tcW w:w="2552" w:type="dxa"/>
            <w:vMerge w:val="restart"/>
            <w:vAlign w:val="center"/>
          </w:tcPr>
          <w:p w:rsidR="00F12463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Ватинское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НГДУ, ЦППН-2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AD45BE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Pr="00AD45BE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17520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F12463" w:rsidRPr="00AD45BE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Merge/>
            <w:vAlign w:val="center"/>
          </w:tcPr>
          <w:p w:rsidR="00F12463" w:rsidRPr="00580A9C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Default="00F12463" w:rsidP="00F12463">
            <w:pPr>
              <w:ind w:left="-108" w:right="-108"/>
              <w:jc w:val="center"/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Pr="00AD45BE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экипаж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17520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675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552" w:type="dxa"/>
            <w:vAlign w:val="center"/>
          </w:tcPr>
          <w:p w:rsidR="00F12463" w:rsidRPr="008F1D6F" w:rsidRDefault="00F12463" w:rsidP="009D178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УМТС, склад метанола</w:t>
            </w:r>
          </w:p>
        </w:tc>
        <w:tc>
          <w:tcPr>
            <w:tcW w:w="992" w:type="dxa"/>
            <w:vMerge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12463" w:rsidRPr="00753402" w:rsidRDefault="00F12463" w:rsidP="00F12463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753402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чел./час.</w:t>
            </w:r>
          </w:p>
        </w:tc>
        <w:tc>
          <w:tcPr>
            <w:tcW w:w="850" w:type="dxa"/>
            <w:vAlign w:val="center"/>
          </w:tcPr>
          <w:p w:rsid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пост</w:t>
            </w:r>
          </w:p>
        </w:tc>
        <w:tc>
          <w:tcPr>
            <w:tcW w:w="1276" w:type="dxa"/>
          </w:tcPr>
          <w:p w:rsidR="00F12463" w:rsidRPr="00AD45BE" w:rsidRDefault="00F12463" w:rsidP="009D1786">
            <w:pPr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Ежедневно (круглосуточно)</w:t>
            </w:r>
          </w:p>
        </w:tc>
        <w:tc>
          <w:tcPr>
            <w:tcW w:w="1134" w:type="dxa"/>
            <w:vAlign w:val="center"/>
          </w:tcPr>
          <w:p w:rsidR="00F12463" w:rsidRPr="00F12463" w:rsidRDefault="00F12463" w:rsidP="009D178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</w:p>
        </w:tc>
        <w:tc>
          <w:tcPr>
            <w:tcW w:w="1134" w:type="dxa"/>
            <w:vAlign w:val="center"/>
          </w:tcPr>
          <w:p w:rsidR="00F12463" w:rsidRPr="00580A9C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8760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580A9C" w:rsidTr="00F12463">
        <w:trPr>
          <w:trHeight w:val="397"/>
        </w:trPr>
        <w:tc>
          <w:tcPr>
            <w:tcW w:w="3227" w:type="dxa"/>
            <w:gridSpan w:val="2"/>
            <w:vAlign w:val="center"/>
          </w:tcPr>
          <w:p w:rsidR="00F12463" w:rsidRDefault="00F12463" w:rsidP="00F124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F12463" w:rsidRPr="00580A9C" w:rsidRDefault="00F12463" w:rsidP="00ED7A9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  <w:vAlign w:val="center"/>
          </w:tcPr>
          <w:p w:rsidR="00F12463" w:rsidRPr="00F12463" w:rsidRDefault="00F12463" w:rsidP="00F1246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43800</w:t>
            </w:r>
          </w:p>
        </w:tc>
        <w:tc>
          <w:tcPr>
            <w:tcW w:w="1701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580A9C" w:rsidRDefault="00F12463" w:rsidP="00ED7A97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F12463" w:rsidRPr="00732F70" w:rsidTr="00F12463">
        <w:trPr>
          <w:trHeight w:val="236"/>
        </w:trPr>
        <w:tc>
          <w:tcPr>
            <w:tcW w:w="675" w:type="dxa"/>
            <w:vAlign w:val="center"/>
          </w:tcPr>
          <w:p w:rsidR="00F12463" w:rsidRPr="00732F70" w:rsidRDefault="00F12463" w:rsidP="00ED7A9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2552" w:type="dxa"/>
            <w:vAlign w:val="center"/>
          </w:tcPr>
          <w:p w:rsidR="00F12463" w:rsidRPr="00732F70" w:rsidRDefault="00F12463" w:rsidP="00F12463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:rsidR="00F12463" w:rsidRPr="00732F70" w:rsidRDefault="00F12463" w:rsidP="00ED7A9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34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984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</w:tcPr>
          <w:p w:rsidR="00F12463" w:rsidRPr="00732F70" w:rsidRDefault="00F12463" w:rsidP="00ED7A97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766"/>
      </w:tblGrid>
      <w:tr w:rsidR="00580A9C" w:rsidRPr="00580A9C" w:rsidTr="00373FBA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152D25" w:rsidP="00ED7A97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373FBA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766" w:type="dxa"/>
            <w:vAlign w:val="center"/>
          </w:tcPr>
          <w:p w:rsidR="009A366D" w:rsidRPr="009A366D" w:rsidRDefault="009A366D" w:rsidP="009A366D">
            <w:pPr>
              <w:shd w:val="clear" w:color="auto" w:fill="FFFFFF"/>
              <w:tabs>
                <w:tab w:val="left" w:pos="141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9A366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9A366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9A366D" w:rsidRPr="009A366D" w:rsidRDefault="009A366D" w:rsidP="009A366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акта на оказание охранных услуг;</w:t>
            </w:r>
          </w:p>
          <w:p w:rsidR="00580A9C" w:rsidRPr="009A366D" w:rsidRDefault="009A366D" w:rsidP="009A366D">
            <w:pPr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9A366D">
              <w:rPr>
                <w:rFonts w:ascii="Times New Roman" w:hAnsi="Times New Roman"/>
                <w:sz w:val="18"/>
                <w:szCs w:val="18"/>
              </w:rPr>
              <w:t>- счет - фактуры</w:t>
            </w:r>
          </w:p>
        </w:tc>
      </w:tr>
      <w:tr w:rsidR="00580A9C" w:rsidRPr="00580A9C" w:rsidTr="00373FBA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766" w:type="dxa"/>
            <w:vAlign w:val="center"/>
          </w:tcPr>
          <w:p w:rsidR="00580A9C" w:rsidRPr="00152D25" w:rsidRDefault="00152D25" w:rsidP="00373FBA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373FBA">
              <w:rPr>
                <w:rFonts w:ascii="Times New Roman" w:hAnsi="Times New Roman"/>
                <w:bCs/>
                <w:sz w:val="18"/>
                <w:szCs w:val="18"/>
                <w:lang w:val="en-US"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1.2015 г. по 31.12.2017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9B17D9">
              <w:rPr>
                <w:rFonts w:ascii="Times New Roman" w:hAnsi="Times New Roman"/>
                <w:sz w:val="24"/>
              </w:rPr>
              <w:t>273</w:t>
            </w:r>
            <w:r>
              <w:rPr>
                <w:rFonts w:ascii="Times New Roman" w:hAnsi="Times New Roman"/>
                <w:sz w:val="24"/>
              </w:rPr>
              <w:t>_____ от «__</w:t>
            </w:r>
            <w:r w:rsidR="009B17D9"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9B17D9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_______</w:t>
            </w:r>
            <w:r w:rsidR="00373FBA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 xml:space="preserve">казание </w:t>
      </w:r>
      <w:r w:rsidR="009A366D">
        <w:rPr>
          <w:rFonts w:ascii="Times New Roman" w:hAnsi="Times New Roman" w:cs="Times New Roman"/>
          <w:sz w:val="24"/>
          <w:szCs w:val="24"/>
        </w:rPr>
        <w:t>охранных</w:t>
      </w:r>
      <w:r w:rsidRPr="0063302F">
        <w:rPr>
          <w:rFonts w:ascii="Times New Roman" w:hAnsi="Times New Roman" w:cs="Times New Roman"/>
          <w:sz w:val="24"/>
          <w:szCs w:val="24"/>
        </w:rPr>
        <w:t xml:space="preserve"> услуг;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</w:t>
      </w:r>
      <w:r w:rsidR="00F1246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1.2015 г. по 31.12.2017 г.</w:t>
      </w:r>
    </w:p>
    <w:p w:rsid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</w:t>
      </w:r>
      <w:r w:rsidR="009A366D">
        <w:rPr>
          <w:rFonts w:ascii="Times New Roman" w:hAnsi="Times New Roman"/>
          <w:sz w:val="24"/>
        </w:rPr>
        <w:t>902.</w:t>
      </w:r>
      <w:r w:rsidR="0098015A">
        <w:rPr>
          <w:rFonts w:ascii="Times New Roman" w:hAnsi="Times New Roman"/>
          <w:sz w:val="24"/>
        </w:rPr>
        <w:t>3</w:t>
      </w:r>
      <w:r w:rsidRPr="00AA5AF8">
        <w:rPr>
          <w:rFonts w:ascii="Times New Roman" w:hAnsi="Times New Roman"/>
          <w:sz w:val="24"/>
        </w:rPr>
        <w:t xml:space="preserve"> (форма </w:t>
      </w:r>
      <w:r w:rsidR="003A78D4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9A366D" w:rsidRDefault="009A366D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A366D">
        <w:rPr>
          <w:rFonts w:ascii="Times New Roman" w:hAnsi="Times New Roman"/>
          <w:sz w:val="24"/>
          <w:u w:val="single"/>
        </w:rPr>
        <w:t>Условия оплаты:</w:t>
      </w:r>
      <w:r w:rsidRPr="009A366D">
        <w:rPr>
          <w:rFonts w:ascii="Times New Roman" w:hAnsi="Times New Roman"/>
          <w:sz w:val="24"/>
        </w:rPr>
        <w:t xml:space="preserve"> в течение 90 (Девяносто) календарных дней, но не ранее 60 (Шестидес</w:t>
      </w:r>
      <w:r w:rsidRPr="009A366D">
        <w:rPr>
          <w:rFonts w:ascii="Times New Roman" w:hAnsi="Times New Roman"/>
          <w:sz w:val="24"/>
        </w:rPr>
        <w:t>я</w:t>
      </w:r>
      <w:r w:rsidRPr="009A366D">
        <w:rPr>
          <w:rFonts w:ascii="Times New Roman" w:hAnsi="Times New Roman"/>
          <w:sz w:val="24"/>
        </w:rPr>
        <w:t xml:space="preserve">ти) дней с даты получения от Исполнителя </w:t>
      </w:r>
      <w:r>
        <w:rPr>
          <w:rFonts w:ascii="Times New Roman" w:hAnsi="Times New Roman"/>
          <w:sz w:val="24"/>
        </w:rPr>
        <w:t xml:space="preserve">оригиналов </w:t>
      </w:r>
      <w:r w:rsidRPr="009A366D">
        <w:rPr>
          <w:rFonts w:ascii="Times New Roman" w:hAnsi="Times New Roman"/>
          <w:sz w:val="24"/>
        </w:rPr>
        <w:t>акта на оказание охранных услуг</w:t>
      </w:r>
      <w:r>
        <w:rPr>
          <w:rFonts w:ascii="Times New Roman" w:hAnsi="Times New Roman"/>
          <w:sz w:val="24"/>
        </w:rPr>
        <w:t xml:space="preserve"> и </w:t>
      </w:r>
      <w:proofErr w:type="gramStart"/>
      <w:r>
        <w:rPr>
          <w:rFonts w:ascii="Times New Roman" w:hAnsi="Times New Roman"/>
          <w:sz w:val="24"/>
        </w:rPr>
        <w:t>счет-фактуры</w:t>
      </w:r>
      <w:proofErr w:type="gramEnd"/>
      <w:r>
        <w:rPr>
          <w:rFonts w:ascii="Times New Roman" w:hAnsi="Times New Roman"/>
          <w:sz w:val="24"/>
        </w:rPr>
        <w:t>.</w:t>
      </w:r>
    </w:p>
    <w:p w:rsidR="000A64D8" w:rsidRPr="009A366D" w:rsidRDefault="000A64D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лота  -</w:t>
      </w:r>
      <w:r>
        <w:rPr>
          <w:rFonts w:ascii="Times New Roman" w:hAnsi="Times New Roman"/>
          <w:sz w:val="24"/>
        </w:rPr>
        <w:t xml:space="preserve"> </w:t>
      </w:r>
      <w:r w:rsidRPr="000A64D8">
        <w:rPr>
          <w:rFonts w:ascii="Times New Roman" w:hAnsi="Times New Roman"/>
          <w:b/>
          <w:sz w:val="24"/>
        </w:rPr>
        <w:t>неделимый.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 xml:space="preserve">Быть правоспособным на осуществление предлагаемого вида </w:t>
      </w:r>
      <w:r w:rsidR="008B10B5">
        <w:rPr>
          <w:rFonts w:ascii="Times New Roman" w:hAnsi="Times New Roman"/>
          <w:sz w:val="24"/>
        </w:rPr>
        <w:t>услуг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ского лица) или быть признанным несостоятельным (банкротом);</w:t>
      </w:r>
    </w:p>
    <w:p w:rsidR="002412C9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8B10B5" w:rsidRPr="008B10B5" w:rsidRDefault="008B10B5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>
        <w:rPr>
          <w:rFonts w:ascii="Times New Roman" w:hAnsi="Times New Roman"/>
          <w:sz w:val="24"/>
        </w:rPr>
        <w:t>услуг</w:t>
      </w:r>
      <w:r w:rsidRPr="008B10B5">
        <w:rPr>
          <w:rFonts w:ascii="Times New Roman" w:hAnsi="Times New Roman"/>
          <w:sz w:val="24"/>
        </w:rPr>
        <w:t>, иметь професс</w:t>
      </w:r>
      <w:r w:rsidRPr="008B10B5">
        <w:rPr>
          <w:rFonts w:ascii="Times New Roman" w:hAnsi="Times New Roman"/>
          <w:sz w:val="24"/>
        </w:rPr>
        <w:t>и</w:t>
      </w:r>
      <w:r w:rsidRPr="008B10B5">
        <w:rPr>
          <w:rFonts w:ascii="Times New Roman" w:hAnsi="Times New Roman"/>
          <w:sz w:val="24"/>
        </w:rPr>
        <w:t>ональные знания и квалификацию, финансовые средства, оборудование и другие матер</w:t>
      </w:r>
      <w:r w:rsidRPr="008B10B5">
        <w:rPr>
          <w:rFonts w:ascii="Times New Roman" w:hAnsi="Times New Roman"/>
          <w:sz w:val="24"/>
        </w:rPr>
        <w:t>и</w:t>
      </w:r>
      <w:r w:rsidRPr="008B10B5">
        <w:rPr>
          <w:rFonts w:ascii="Times New Roman" w:hAnsi="Times New Roman"/>
          <w:sz w:val="24"/>
        </w:rPr>
        <w:t>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</w:t>
      </w:r>
      <w:r w:rsidRPr="008B10B5">
        <w:rPr>
          <w:rFonts w:ascii="Times New Roman" w:hAnsi="Times New Roman"/>
          <w:sz w:val="24"/>
        </w:rPr>
        <w:t>е</w:t>
      </w:r>
      <w:r w:rsidRPr="008B10B5">
        <w:rPr>
          <w:rFonts w:ascii="Times New Roman" w:hAnsi="Times New Roman"/>
          <w:sz w:val="24"/>
        </w:rPr>
        <w:t xml:space="preserve">му, срокам и видам </w:t>
      </w:r>
      <w:r>
        <w:rPr>
          <w:rFonts w:ascii="Times New Roman" w:hAnsi="Times New Roman"/>
          <w:sz w:val="24"/>
        </w:rPr>
        <w:t>оказываемых услуг.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1C0036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proofErr w:type="gramStart"/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>оферт Претендентов</w:t>
      </w:r>
      <w:r w:rsidR="0098015A">
        <w:rPr>
          <w:rFonts w:ascii="Times New Roman" w:hAnsi="Times New Roman"/>
          <w:iCs/>
          <w:sz w:val="24"/>
        </w:rPr>
        <w:t xml:space="preserve"> «Форма 10).</w:t>
      </w:r>
      <w:proofErr w:type="gramEnd"/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t>Привлечение Субподрядчиков осуществляется на условиях письменного согласия Заказч</w:t>
      </w:r>
      <w:r w:rsidRPr="002412C9">
        <w:rPr>
          <w:rFonts w:ascii="Times New Roman" w:hAnsi="Times New Roman"/>
          <w:color w:val="000000"/>
          <w:sz w:val="24"/>
        </w:rPr>
        <w:t>и</w:t>
      </w:r>
      <w:r w:rsidRPr="002412C9">
        <w:rPr>
          <w:rFonts w:ascii="Times New Roman" w:hAnsi="Times New Roman"/>
          <w:color w:val="000000"/>
          <w:sz w:val="24"/>
        </w:rPr>
        <w:t>ка</w:t>
      </w:r>
      <w:r w:rsidRPr="002412C9">
        <w:rPr>
          <w:rFonts w:ascii="Times New Roman" w:hAnsi="Times New Roman"/>
          <w:sz w:val="24"/>
        </w:rPr>
        <w:t>;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33AF1" w:rsidRDefault="008B10B5" w:rsidP="008B10B5">
      <w:pPr>
        <w:pStyle w:val="ac"/>
        <w:numPr>
          <w:ilvl w:val="0"/>
          <w:numId w:val="11"/>
        </w:numPr>
        <w:ind w:hanging="436"/>
        <w:jc w:val="both"/>
        <w:rPr>
          <w:rFonts w:ascii="Times New Roman" w:hAnsi="Times New Roman"/>
          <w:sz w:val="24"/>
        </w:rPr>
      </w:pPr>
      <w:r w:rsidRPr="008B10B5">
        <w:rPr>
          <w:rFonts w:ascii="Times New Roman" w:hAnsi="Times New Roman"/>
          <w:sz w:val="24"/>
        </w:rPr>
        <w:lastRenderedPageBreak/>
        <w:t>Качественное и своевременное оказание услуг по охране производственных объектов, АБК и имущества, переданного под охрану, а также осуществлять контрольно-пропускной р</w:t>
      </w:r>
      <w:r w:rsidRPr="008B10B5">
        <w:rPr>
          <w:rFonts w:ascii="Times New Roman" w:hAnsi="Times New Roman"/>
          <w:sz w:val="24"/>
        </w:rPr>
        <w:t>е</w:t>
      </w:r>
      <w:r w:rsidRPr="008B10B5">
        <w:rPr>
          <w:rFonts w:ascii="Times New Roman" w:hAnsi="Times New Roman"/>
          <w:sz w:val="24"/>
        </w:rPr>
        <w:t>жим</w:t>
      </w:r>
      <w:r>
        <w:rPr>
          <w:rFonts w:ascii="Times New Roman" w:hAnsi="Times New Roman"/>
          <w:sz w:val="24"/>
        </w:rPr>
        <w:t>.</w:t>
      </w:r>
    </w:p>
    <w:p w:rsidR="008B10B5" w:rsidRDefault="008B10B5" w:rsidP="008B10B5">
      <w:pPr>
        <w:jc w:val="both"/>
        <w:rPr>
          <w:rFonts w:ascii="Times New Roman" w:hAnsi="Times New Roman"/>
          <w:sz w:val="24"/>
        </w:rPr>
      </w:pPr>
    </w:p>
    <w:p w:rsidR="008B10B5" w:rsidRDefault="008B10B5" w:rsidP="008B10B5">
      <w:pPr>
        <w:jc w:val="both"/>
        <w:rPr>
          <w:rFonts w:ascii="Times New Roman" w:hAnsi="Times New Roman"/>
          <w:b/>
          <w:sz w:val="24"/>
        </w:rPr>
      </w:pPr>
      <w:r w:rsidRPr="008B10B5">
        <w:rPr>
          <w:rFonts w:ascii="Times New Roman" w:hAnsi="Times New Roman"/>
          <w:b/>
          <w:sz w:val="24"/>
        </w:rPr>
        <w:t>5. Особые условия.</w:t>
      </w:r>
    </w:p>
    <w:p w:rsidR="001C0036" w:rsidRDefault="0098015A" w:rsidP="0098015A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="001C0036" w:rsidRPr="0098015A">
        <w:rPr>
          <w:rFonts w:ascii="Times New Roman" w:hAnsi="Times New Roman"/>
          <w:sz w:val="24"/>
        </w:rPr>
        <w:t>меть в наличии боевое оружие и умение его применять согласно нормам действующего законодательства</w:t>
      </w:r>
      <w:r w:rsidR="003A78D4" w:rsidRPr="0098015A">
        <w:rPr>
          <w:rFonts w:ascii="Times New Roman" w:hAnsi="Times New Roman"/>
          <w:sz w:val="24"/>
        </w:rPr>
        <w:t>.</w:t>
      </w:r>
    </w:p>
    <w:p w:rsidR="0014238D" w:rsidRPr="0014238D" w:rsidRDefault="0014238D" w:rsidP="0014238D">
      <w:pPr>
        <w:pStyle w:val="ac"/>
        <w:numPr>
          <w:ilvl w:val="0"/>
          <w:numId w:val="11"/>
        </w:numPr>
        <w:rPr>
          <w:rFonts w:ascii="Times New Roman" w:hAnsi="Times New Roman"/>
          <w:sz w:val="24"/>
        </w:rPr>
      </w:pPr>
      <w:r w:rsidRPr="0014238D">
        <w:rPr>
          <w:rFonts w:ascii="Times New Roman" w:hAnsi="Times New Roman"/>
          <w:sz w:val="24"/>
        </w:rPr>
        <w:t>Подробные требования к предмету оферты изложены в приложении №1 к форме 5.</w:t>
      </w:r>
    </w:p>
    <w:p w:rsidR="0014238D" w:rsidRPr="0014238D" w:rsidRDefault="0014238D" w:rsidP="0014238D">
      <w:pPr>
        <w:ind w:left="360"/>
        <w:jc w:val="both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3A78D4" w:rsidRDefault="003A78D4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98015A" w:rsidRDefault="0098015A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Default="003A78D4" w:rsidP="004B57B5">
      <w:pPr>
        <w:suppressAutoHyphens/>
        <w:rPr>
          <w:b/>
        </w:rPr>
      </w:pPr>
    </w:p>
    <w:p w:rsidR="003A78D4" w:rsidRPr="00902E02" w:rsidRDefault="003A78D4" w:rsidP="003A78D4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3A78D4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Pr="00523749" w:rsidRDefault="003A78D4" w:rsidP="003A78D4">
      <w:pPr>
        <w:pStyle w:val="ae"/>
        <w:jc w:val="both"/>
        <w:rPr>
          <w:bCs w:val="0"/>
          <w:szCs w:val="28"/>
          <w:lang w:val="ru-RU"/>
        </w:rPr>
      </w:pPr>
    </w:p>
    <w:p w:rsidR="003A78D4" w:rsidRDefault="003A78D4" w:rsidP="003A78D4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3A78D4" w:rsidRPr="00523749" w:rsidRDefault="003A78D4" w:rsidP="003A78D4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3A78D4" w:rsidRPr="00523749" w:rsidRDefault="003A78D4" w:rsidP="003A78D4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3A78D4" w:rsidRPr="00523749" w:rsidTr="00CA0F96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3A78D4" w:rsidRPr="00523749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3A78D4" w:rsidRPr="00874170" w:rsidRDefault="003A78D4" w:rsidP="00CA0F96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3A78D4" w:rsidRPr="00874170" w:rsidRDefault="003A78D4" w:rsidP="00CA0F96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3A78D4" w:rsidRPr="00523749" w:rsidTr="00CA0F96">
        <w:tc>
          <w:tcPr>
            <w:tcW w:w="905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3A78D4" w:rsidRPr="00523749" w:rsidRDefault="003A78D4" w:rsidP="00CA0F96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3A78D4" w:rsidRPr="00523749" w:rsidRDefault="003A78D4" w:rsidP="00CA0F96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3A78D4" w:rsidRPr="00523749" w:rsidRDefault="003A78D4" w:rsidP="003A78D4">
      <w:pPr>
        <w:pStyle w:val="ae"/>
        <w:ind w:firstLine="709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</w:p>
    <w:p w:rsidR="003A78D4" w:rsidRPr="00523749" w:rsidRDefault="003A78D4" w:rsidP="003A78D4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3A78D4" w:rsidRPr="00902E02" w:rsidRDefault="003A78D4" w:rsidP="003A78D4">
      <w:pPr>
        <w:rPr>
          <w:rFonts w:ascii="Times New Roman" w:hAnsi="Times New Roman"/>
          <w:sz w:val="24"/>
          <w:lang w:val="x-none"/>
        </w:rPr>
      </w:pPr>
    </w:p>
    <w:p w:rsidR="003A78D4" w:rsidRPr="003A78D4" w:rsidRDefault="003A78D4" w:rsidP="004B57B5">
      <w:pPr>
        <w:suppressAutoHyphens/>
        <w:rPr>
          <w:b/>
          <w:lang w:val="x-none"/>
        </w:rPr>
      </w:pPr>
    </w:p>
    <w:sectPr w:rsidR="003A78D4" w:rsidRPr="003A78D4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F5C20"/>
    <w:multiLevelType w:val="hybridMultilevel"/>
    <w:tmpl w:val="E5FA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BE74D4D"/>
    <w:multiLevelType w:val="hybridMultilevel"/>
    <w:tmpl w:val="756C22B0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FC1880"/>
    <w:multiLevelType w:val="hybridMultilevel"/>
    <w:tmpl w:val="2E4EDD8C"/>
    <w:lvl w:ilvl="0" w:tplc="F0C42A24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BF66C46"/>
    <w:multiLevelType w:val="hybridMultilevel"/>
    <w:tmpl w:val="81947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F43A1C"/>
    <w:multiLevelType w:val="hybridMultilevel"/>
    <w:tmpl w:val="EBB883C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90B6FBD"/>
    <w:multiLevelType w:val="hybridMultilevel"/>
    <w:tmpl w:val="EF74D7A4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0CB0"/>
    <w:rsid w:val="000A19BF"/>
    <w:rsid w:val="000A64D8"/>
    <w:rsid w:val="000B5CA0"/>
    <w:rsid w:val="000D03FA"/>
    <w:rsid w:val="000F1587"/>
    <w:rsid w:val="00105BBB"/>
    <w:rsid w:val="0014238D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0036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73FBA"/>
    <w:rsid w:val="003815A6"/>
    <w:rsid w:val="003816B5"/>
    <w:rsid w:val="00385F58"/>
    <w:rsid w:val="003A78D4"/>
    <w:rsid w:val="003C2F3B"/>
    <w:rsid w:val="003D4163"/>
    <w:rsid w:val="003E555B"/>
    <w:rsid w:val="00415355"/>
    <w:rsid w:val="0042779A"/>
    <w:rsid w:val="00432F17"/>
    <w:rsid w:val="00433736"/>
    <w:rsid w:val="00452515"/>
    <w:rsid w:val="0049010E"/>
    <w:rsid w:val="00494812"/>
    <w:rsid w:val="00496F5D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A5EAF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714FBE"/>
    <w:rsid w:val="00724370"/>
    <w:rsid w:val="00732F70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689A"/>
    <w:rsid w:val="008308D7"/>
    <w:rsid w:val="008377F5"/>
    <w:rsid w:val="0084327A"/>
    <w:rsid w:val="0086163B"/>
    <w:rsid w:val="00871E0A"/>
    <w:rsid w:val="00880DC6"/>
    <w:rsid w:val="00890B05"/>
    <w:rsid w:val="008937F9"/>
    <w:rsid w:val="00897CF5"/>
    <w:rsid w:val="008B10B5"/>
    <w:rsid w:val="008B16CF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015A"/>
    <w:rsid w:val="00985206"/>
    <w:rsid w:val="00992C5C"/>
    <w:rsid w:val="009A366D"/>
    <w:rsid w:val="009B17D9"/>
    <w:rsid w:val="009B35DF"/>
    <w:rsid w:val="009C51DF"/>
    <w:rsid w:val="009C7ED6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AB59E6"/>
    <w:rsid w:val="00AD45BE"/>
    <w:rsid w:val="00AE1023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4B69"/>
    <w:rsid w:val="00D21794"/>
    <w:rsid w:val="00D26D62"/>
    <w:rsid w:val="00D30184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551E0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FD5"/>
    <w:rsid w:val="00F028B6"/>
    <w:rsid w:val="00F12463"/>
    <w:rsid w:val="00F21BCA"/>
    <w:rsid w:val="00F40A5B"/>
    <w:rsid w:val="00F94F19"/>
    <w:rsid w:val="00F95725"/>
    <w:rsid w:val="00FA5068"/>
    <w:rsid w:val="00FA522E"/>
    <w:rsid w:val="00FB5238"/>
    <w:rsid w:val="00FC20F9"/>
    <w:rsid w:val="00FD592C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uiPriority w:val="99"/>
    <w:semiHidden/>
    <w:unhideWhenUsed/>
    <w:rsid w:val="009A366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cs="Arial"/>
      <w:sz w:val="20"/>
      <w:szCs w:val="20"/>
    </w:rPr>
  </w:style>
  <w:style w:type="character" w:customStyle="1" w:styleId="af1">
    <w:name w:val="Верхний колонтитул Знак"/>
    <w:basedOn w:val="a1"/>
    <w:link w:val="af0"/>
    <w:uiPriority w:val="99"/>
    <w:semiHidden/>
    <w:rsid w:val="009A366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shkinAV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3</cp:revision>
  <cp:lastPrinted>2014-10-20T07:47:00Z</cp:lastPrinted>
  <dcterms:created xsi:type="dcterms:W3CDTF">2015-07-09T12:13:00Z</dcterms:created>
  <dcterms:modified xsi:type="dcterms:W3CDTF">2015-07-21T07:34:00Z</dcterms:modified>
</cp:coreProperties>
</file>