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4186D">
            <w:pPr>
              <w:spacing w:before="0"/>
              <w:jc w:val="both"/>
              <w:rPr>
                <w:rFonts w:ascii="Times New Roman" w:hAnsi="Times New Roman"/>
                <w:sz w:val="24"/>
              </w:rPr>
            </w:pPr>
            <w:r w:rsidRPr="000127F9">
              <w:rPr>
                <w:rFonts w:ascii="Times New Roman" w:hAnsi="Times New Roman"/>
                <w:sz w:val="24"/>
              </w:rPr>
              <w:t>Протокол  № __</w:t>
            </w:r>
            <w:r w:rsidR="00A4186D">
              <w:rPr>
                <w:rFonts w:ascii="Times New Roman" w:hAnsi="Times New Roman"/>
                <w:sz w:val="24"/>
              </w:rPr>
              <w:t>572</w:t>
            </w:r>
            <w:r w:rsidRPr="000127F9">
              <w:rPr>
                <w:rFonts w:ascii="Times New Roman" w:hAnsi="Times New Roman"/>
                <w:sz w:val="24"/>
              </w:rPr>
              <w:t>__________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4186D">
            <w:pPr>
              <w:spacing w:before="0"/>
              <w:jc w:val="both"/>
              <w:rPr>
                <w:rFonts w:ascii="Times New Roman" w:hAnsi="Times New Roman"/>
                <w:sz w:val="24"/>
              </w:rPr>
            </w:pPr>
            <w:r w:rsidRPr="000127F9">
              <w:rPr>
                <w:rFonts w:ascii="Times New Roman" w:hAnsi="Times New Roman"/>
                <w:sz w:val="24"/>
              </w:rPr>
              <w:t>«__</w:t>
            </w:r>
            <w:r w:rsidR="00A4186D">
              <w:rPr>
                <w:rFonts w:ascii="Times New Roman" w:hAnsi="Times New Roman"/>
                <w:sz w:val="24"/>
              </w:rPr>
              <w:t>24</w:t>
            </w:r>
            <w:r w:rsidRPr="000127F9">
              <w:rPr>
                <w:rFonts w:ascii="Times New Roman" w:hAnsi="Times New Roman"/>
                <w:sz w:val="24"/>
              </w:rPr>
              <w:t>» ____</w:t>
            </w:r>
            <w:r w:rsidR="00A4186D">
              <w:rPr>
                <w:rFonts w:ascii="Times New Roman" w:hAnsi="Times New Roman"/>
                <w:sz w:val="24"/>
              </w:rPr>
              <w:t>11</w:t>
            </w:r>
            <w:r w:rsidRPr="000127F9">
              <w:rPr>
                <w:rFonts w:ascii="Times New Roman" w:hAnsi="Times New Roman"/>
                <w:sz w:val="24"/>
              </w:rPr>
              <w:t>_______  _</w:t>
            </w:r>
            <w:r w:rsidR="00A4186D">
              <w:rPr>
                <w:rFonts w:ascii="Times New Roman" w:hAnsi="Times New Roman"/>
                <w:sz w:val="24"/>
              </w:rPr>
              <w:t>2015</w:t>
            </w:r>
            <w:r w:rsidRPr="000127F9">
              <w:rPr>
                <w:rFonts w:ascii="Times New Roman" w:hAnsi="Times New Roman"/>
                <w:sz w:val="24"/>
              </w:rPr>
              <w:t>___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9973DA">
        <w:rPr>
          <w:rFonts w:ascii="Times New Roman" w:hAnsi="Times New Roman"/>
          <w:b/>
          <w:sz w:val="24"/>
        </w:rPr>
        <w:t>796</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A4186D">
        <w:rPr>
          <w:rFonts w:ascii="Times New Roman" w:hAnsi="Times New Roman"/>
          <w:b/>
          <w:sz w:val="24"/>
        </w:rPr>
        <w:t>24.11.</w:t>
      </w:r>
      <w:r w:rsidR="00107110">
        <w:rPr>
          <w:rFonts w:ascii="Times New Roman" w:hAnsi="Times New Roman"/>
          <w:b/>
          <w:sz w:val="24"/>
        </w:rPr>
        <w:t>__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1514</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250473" w:rsidRPr="00250473">
        <w:rPr>
          <w:rFonts w:ascii="Times New Roman" w:hAnsi="Times New Roman"/>
          <w:b/>
          <w:sz w:val="24"/>
          <w:u w:val="single"/>
        </w:rPr>
        <w:t xml:space="preserve">Консультационные услуги (SAP консалтинг и </w:t>
      </w:r>
      <w:proofErr w:type="gramStart"/>
      <w:r w:rsidR="00250473" w:rsidRPr="00250473">
        <w:rPr>
          <w:rFonts w:ascii="Times New Roman" w:hAnsi="Times New Roman"/>
          <w:b/>
          <w:sz w:val="24"/>
          <w:u w:val="single"/>
        </w:rPr>
        <w:t>ИТ</w:t>
      </w:r>
      <w:proofErr w:type="gramEnd"/>
      <w:r w:rsidR="00250473" w:rsidRPr="00250473">
        <w:rPr>
          <w:rFonts w:ascii="Times New Roman" w:hAnsi="Times New Roman"/>
          <w:b/>
          <w:sz w:val="24"/>
          <w:u w:val="single"/>
        </w:rPr>
        <w:t xml:space="preserve"> Консалтинг)</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ложение на № 796</w:t>
      </w:r>
      <w:r w:rsidR="00496585">
        <w:rPr>
          <w:rFonts w:ascii="Times New Roman" w:hAnsi="Times New Roman"/>
          <w:b/>
          <w:sz w:val="24"/>
        </w:rPr>
        <w:t>/</w:t>
      </w:r>
      <w:r w:rsidR="008A1AF9" w:rsidRPr="00D12CD3">
        <w:rPr>
          <w:rFonts w:ascii="Times New Roman" w:hAnsi="Times New Roman"/>
          <w:b/>
          <w:sz w:val="24"/>
        </w:rPr>
        <w:t>ТК/2015  от ___</w:t>
      </w:r>
      <w:r w:rsidR="00641F6F">
        <w:rPr>
          <w:rFonts w:ascii="Times New Roman" w:hAnsi="Times New Roman"/>
          <w:b/>
          <w:sz w:val="24"/>
        </w:rPr>
        <w:t>24.11.</w:t>
      </w:r>
      <w:bookmarkStart w:id="0" w:name="_GoBack"/>
      <w:bookmarkEnd w:id="0"/>
      <w:r w:rsidR="00552890">
        <w:rPr>
          <w:rFonts w:ascii="Times New Roman" w:hAnsi="Times New Roman"/>
          <w:b/>
          <w:sz w:val="24"/>
        </w:rPr>
        <w:t>__</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A4186D">
        <w:rPr>
          <w:rFonts w:ascii="Times New Roman" w:hAnsi="Times New Roman"/>
          <w:b/>
          <w:sz w:val="24"/>
        </w:rPr>
        <w:t>24</w:t>
      </w:r>
      <w:r w:rsidRPr="00D12CD3">
        <w:rPr>
          <w:rFonts w:ascii="Times New Roman" w:hAnsi="Times New Roman"/>
          <w:b/>
          <w:sz w:val="24"/>
        </w:rPr>
        <w:t>» ___</w:t>
      </w:r>
      <w:r w:rsidR="00A4186D">
        <w:rPr>
          <w:rFonts w:ascii="Times New Roman" w:hAnsi="Times New Roman"/>
          <w:b/>
          <w:sz w:val="24"/>
        </w:rPr>
        <w:t>11</w:t>
      </w:r>
      <w:r w:rsidRPr="00D12CD3">
        <w:rPr>
          <w:rFonts w:ascii="Times New Roman" w:hAnsi="Times New Roman"/>
          <w:b/>
          <w:sz w:val="24"/>
        </w:rPr>
        <w:t>____________ _</w:t>
      </w:r>
      <w:r w:rsidR="00A4186D">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A4186D">
        <w:rPr>
          <w:rFonts w:ascii="Times New Roman" w:hAnsi="Times New Roman"/>
          <w:b/>
          <w:sz w:val="24"/>
        </w:rPr>
        <w:t>15</w:t>
      </w:r>
      <w:r w:rsidRPr="00D12CD3">
        <w:rPr>
          <w:rFonts w:ascii="Times New Roman" w:hAnsi="Times New Roman"/>
          <w:b/>
          <w:sz w:val="24"/>
        </w:rPr>
        <w:t>__:_</w:t>
      </w:r>
      <w:r w:rsidR="00A4186D">
        <w:rPr>
          <w:rFonts w:ascii="Times New Roman" w:hAnsi="Times New Roman"/>
          <w:b/>
          <w:sz w:val="24"/>
        </w:rPr>
        <w:t xml:space="preserve">00ч. </w:t>
      </w:r>
      <w:proofErr w:type="gramStart"/>
      <w:r w:rsidR="00A4186D">
        <w:rPr>
          <w:rFonts w:ascii="Times New Roman" w:hAnsi="Times New Roman"/>
          <w:b/>
          <w:sz w:val="24"/>
        </w:rPr>
        <w:t>МСК</w:t>
      </w:r>
      <w:proofErr w:type="gramEnd"/>
      <w:r w:rsidRPr="00D12CD3">
        <w:rPr>
          <w:rFonts w:ascii="Times New Roman" w:hAnsi="Times New Roman"/>
          <w:b/>
          <w:sz w:val="24"/>
        </w:rPr>
        <w:t>__ «__</w:t>
      </w:r>
      <w:r w:rsidR="00A4186D">
        <w:rPr>
          <w:rFonts w:ascii="Times New Roman" w:hAnsi="Times New Roman"/>
          <w:b/>
          <w:sz w:val="24"/>
        </w:rPr>
        <w:t>07</w:t>
      </w:r>
      <w:r w:rsidRPr="00D12CD3">
        <w:rPr>
          <w:rFonts w:ascii="Times New Roman" w:hAnsi="Times New Roman"/>
          <w:b/>
          <w:sz w:val="24"/>
        </w:rPr>
        <w:t>_» ___</w:t>
      </w:r>
      <w:r w:rsidR="00A4186D">
        <w:rPr>
          <w:rFonts w:ascii="Times New Roman" w:hAnsi="Times New Roman"/>
          <w:b/>
          <w:sz w:val="24"/>
        </w:rPr>
        <w:t>12</w:t>
      </w:r>
      <w:r w:rsidRPr="00D12CD3">
        <w:rPr>
          <w:rFonts w:ascii="Times New Roman" w:hAnsi="Times New Roman"/>
          <w:b/>
          <w:sz w:val="24"/>
        </w:rPr>
        <w:t xml:space="preserve">_________ </w:t>
      </w:r>
      <w:r w:rsidR="00A4186D">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A4186D">
        <w:rPr>
          <w:rFonts w:ascii="Times New Roman" w:hAnsi="Times New Roman"/>
          <w:sz w:val="24"/>
        </w:rPr>
        <w:t>02</w:t>
      </w:r>
      <w:r w:rsidR="00FA3E46" w:rsidRPr="00D12CD3">
        <w:rPr>
          <w:rFonts w:ascii="Times New Roman" w:hAnsi="Times New Roman"/>
          <w:sz w:val="24"/>
        </w:rPr>
        <w:t>_</w:t>
      </w:r>
      <w:r w:rsidR="00D513DB" w:rsidRPr="00D12CD3">
        <w:rPr>
          <w:rFonts w:ascii="Times New Roman" w:hAnsi="Times New Roman"/>
          <w:sz w:val="24"/>
        </w:rPr>
        <w:t>» ____</w:t>
      </w:r>
      <w:r w:rsidR="00A4186D">
        <w:rPr>
          <w:rFonts w:ascii="Times New Roman" w:hAnsi="Times New Roman"/>
          <w:sz w:val="24"/>
        </w:rPr>
        <w:t>12</w:t>
      </w:r>
      <w:r w:rsidR="00D513DB" w:rsidRPr="00D12CD3">
        <w:rPr>
          <w:rFonts w:ascii="Times New Roman" w:hAnsi="Times New Roman"/>
          <w:sz w:val="24"/>
        </w:rPr>
        <w:t xml:space="preserve">___________ </w:t>
      </w:r>
      <w:r w:rsidR="00A4186D">
        <w:rPr>
          <w:rFonts w:ascii="Times New Roman" w:hAnsi="Times New Roman"/>
          <w:sz w:val="24"/>
        </w:rPr>
        <w:t>2015</w:t>
      </w:r>
      <w:r w:rsidR="00D513DB" w:rsidRPr="00D12CD3">
        <w:rPr>
          <w:rFonts w:ascii="Times New Roman" w:hAnsi="Times New Roman"/>
          <w:sz w:val="24"/>
        </w:rPr>
        <w:t>_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41-400, </w:t>
      </w:r>
      <w:r w:rsidRPr="001F4995">
        <w:rPr>
          <w:rFonts w:ascii="Times New Roman" w:hAnsi="Times New Roman"/>
          <w:sz w:val="24"/>
          <w:u w:val="single"/>
        </w:rPr>
        <w:t>KosceevSI@mng.slavneft.ru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Зам. начальника центра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Глебов Евгений Сергеевич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41-450, </w:t>
      </w:r>
      <w:hyperlink r:id="rId9" w:history="1">
        <w:r w:rsidR="001F4995" w:rsidRPr="00F84CE5">
          <w:rPr>
            <w:rStyle w:val="aa"/>
            <w:rFonts w:ascii="Times New Roman" w:hAnsi="Times New Roman"/>
            <w:sz w:val="24"/>
          </w:rPr>
          <w:t>GlebovES@mng.slavneft.ru</w:t>
        </w:r>
      </w:hyperlink>
    </w:p>
    <w:p w:rsidR="001F4995" w:rsidRDefault="001F4995" w:rsidP="00EA132E">
      <w:pPr>
        <w:spacing w:before="0"/>
        <w:jc w:val="both"/>
        <w:rPr>
          <w:rFonts w:ascii="Times New Roman" w:hAnsi="Times New Roman"/>
          <w:sz w:val="24"/>
        </w:rPr>
      </w:pPr>
    </w:p>
    <w:p w:rsidR="001F4995" w:rsidRDefault="001F4995" w:rsidP="00EA132E">
      <w:pPr>
        <w:spacing w:before="0"/>
        <w:jc w:val="both"/>
        <w:rPr>
          <w:rFonts w:ascii="Times New Roman" w:hAnsi="Times New Roman"/>
          <w:sz w:val="24"/>
        </w:rPr>
      </w:pPr>
      <w:r w:rsidRPr="001F4995">
        <w:rPr>
          <w:rFonts w:ascii="Times New Roman" w:hAnsi="Times New Roman"/>
          <w:sz w:val="24"/>
        </w:rPr>
        <w:t>Главный специалист по проектированию систем управления</w:t>
      </w:r>
    </w:p>
    <w:p w:rsidR="001F4995" w:rsidRDefault="001F4995" w:rsidP="00EA132E">
      <w:pPr>
        <w:spacing w:before="0"/>
        <w:jc w:val="both"/>
        <w:rPr>
          <w:rFonts w:ascii="Times New Roman" w:hAnsi="Times New Roman"/>
          <w:sz w:val="24"/>
        </w:rPr>
      </w:pPr>
      <w:r w:rsidRPr="001F4995">
        <w:rPr>
          <w:rFonts w:ascii="Times New Roman" w:hAnsi="Times New Roman"/>
          <w:sz w:val="24"/>
        </w:rPr>
        <w:t>Авербух Виталий Рубинович</w:t>
      </w:r>
    </w:p>
    <w:p w:rsidR="001F4995" w:rsidRPr="00EA132E" w:rsidRDefault="001F4995" w:rsidP="00EA132E">
      <w:pPr>
        <w:spacing w:before="0"/>
        <w:jc w:val="both"/>
        <w:rPr>
          <w:rFonts w:ascii="Times New Roman" w:hAnsi="Times New Roman"/>
          <w:sz w:val="24"/>
        </w:rPr>
      </w:pPr>
      <w:r>
        <w:rPr>
          <w:rFonts w:ascii="Times New Roman" w:hAnsi="Times New Roman"/>
          <w:sz w:val="24"/>
        </w:rPr>
        <w:t xml:space="preserve">тел. (34643) 41-482, </w:t>
      </w:r>
      <w:proofErr w:type="spellStart"/>
      <w:r>
        <w:rPr>
          <w:rFonts w:ascii="Times New Roman" w:hAnsi="Times New Roman"/>
          <w:sz w:val="24"/>
        </w:rPr>
        <w:t>Averbuh</w:t>
      </w:r>
      <w:r w:rsidRPr="001F4995">
        <w:rPr>
          <w:rFonts w:ascii="Times New Roman" w:hAnsi="Times New Roman"/>
          <w:sz w:val="24"/>
        </w:rPr>
        <w:t>V</w:t>
      </w:r>
      <w:proofErr w:type="spellEnd"/>
      <w:r>
        <w:rPr>
          <w:rFonts w:ascii="Times New Roman" w:hAnsi="Times New Roman"/>
          <w:sz w:val="24"/>
          <w:lang w:val="en-US"/>
        </w:rPr>
        <w:t>R</w:t>
      </w:r>
      <w:r w:rsidRPr="001F4995">
        <w:rPr>
          <w:rFonts w:ascii="Times New Roman" w:hAnsi="Times New Roman"/>
          <w:sz w:val="24"/>
        </w:rPr>
        <w:t>@mng.slavneft.ru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Филина Светлана Павловна</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45-751, </w:t>
      </w:r>
      <w:hyperlink r:id="rId10" w:history="1">
        <w:r w:rsidRPr="003C3CB8">
          <w:rPr>
            <w:rStyle w:val="aa"/>
            <w:rFonts w:ascii="Times New Roman" w:hAnsi="Times New Roman"/>
            <w:sz w:val="24"/>
          </w:rPr>
          <w:t>FilinaSP@mng.slavneft.ru</w:t>
        </w:r>
      </w:hyperlink>
      <w:r w:rsidRPr="00EA132E">
        <w:rPr>
          <w:rFonts w:ascii="Times New Roman" w:hAnsi="Times New Roman"/>
          <w:sz w:val="24"/>
        </w:rPr>
        <w:t>;</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796</w:t>
      </w:r>
      <w:r w:rsidR="00496585">
        <w:rPr>
          <w:rFonts w:ascii="Times New Roman" w:hAnsi="Times New Roman"/>
          <w:b/>
          <w:sz w:val="24"/>
        </w:rPr>
        <w:t>/</w:t>
      </w:r>
      <w:r w:rsidR="00F42CF0" w:rsidRPr="00D12CD3">
        <w:rPr>
          <w:rFonts w:ascii="Times New Roman" w:hAnsi="Times New Roman"/>
          <w:b/>
          <w:sz w:val="24"/>
        </w:rPr>
        <w:t>ТК/2015  от ___</w:t>
      </w:r>
      <w:r w:rsidR="009A0C8A">
        <w:rPr>
          <w:rFonts w:ascii="Times New Roman" w:hAnsi="Times New Roman"/>
          <w:b/>
          <w:sz w:val="24"/>
        </w:rPr>
        <w:t>_</w:t>
      </w:r>
      <w:r w:rsidR="00F42CF0" w:rsidRPr="00D12CD3">
        <w:rPr>
          <w:rFonts w:ascii="Times New Roman" w:hAnsi="Times New Roman"/>
          <w:b/>
          <w:sz w:val="24"/>
        </w:rPr>
        <w:t>___2015г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0F3E29" w:rsidRPr="00FA4CFC">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0F3E29" w:rsidRPr="00FA4CFC">
        <w:rPr>
          <w:rFonts w:ascii="Times New Roman" w:hAnsi="Times New Roman"/>
          <w:sz w:val="24"/>
        </w:rPr>
        <w:t>7</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A4186D" w:rsidRDefault="00A4186D"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C37F97" w:rsidRPr="00C37F97"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Предмет закупки:</w:t>
      </w:r>
      <w:r w:rsidRPr="0092313F">
        <w:rPr>
          <w:rFonts w:ascii="Times New Roman" w:hAnsi="Times New Roman" w:cs="Times New Roman"/>
          <w:sz w:val="24"/>
          <w:szCs w:val="24"/>
        </w:rPr>
        <w:t xml:space="preserve"> </w:t>
      </w:r>
      <w:r w:rsidRPr="00C37F97">
        <w:rPr>
          <w:rFonts w:ascii="Times New Roman" w:hAnsi="Times New Roman"/>
          <w:sz w:val="24"/>
        </w:rPr>
        <w:t>оказание консалтинговых услуг по настройке и изменению системы SAP.</w:t>
      </w:r>
      <w:r w:rsidRPr="00C37F97">
        <w:rPr>
          <w:rFonts w:ascii="Times New Roman" w:hAnsi="Times New Roman" w:cs="Times New Roman"/>
          <w:sz w:val="24"/>
          <w:szCs w:val="24"/>
        </w:rPr>
        <w:t xml:space="preserve">  </w:t>
      </w:r>
    </w:p>
    <w:p w:rsidR="00C37F97" w:rsidRPr="0092313F" w:rsidRDefault="00C37F97" w:rsidP="00C37F97">
      <w:pPr>
        <w:pStyle w:val="ab"/>
        <w:numPr>
          <w:ilvl w:val="0"/>
          <w:numId w:val="31"/>
        </w:numPr>
        <w:spacing w:before="0"/>
        <w:ind w:left="714" w:hanging="357"/>
        <w:jc w:val="both"/>
        <w:rPr>
          <w:rFonts w:ascii="Times New Roman" w:hAnsi="Times New Roman"/>
          <w:sz w:val="24"/>
        </w:rPr>
      </w:pPr>
      <w:r w:rsidRPr="0092313F">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Pr>
          <w:rFonts w:ascii="Times New Roman" w:hAnsi="Times New Roman" w:cs="Times New Roman"/>
          <w:sz w:val="24"/>
          <w:szCs w:val="24"/>
        </w:rPr>
        <w:t>2</w:t>
      </w:r>
      <w:r w:rsidRPr="0092313F">
        <w:rPr>
          <w:rFonts w:ascii="Times New Roman" w:hAnsi="Times New Roman" w:cs="Times New Roman"/>
          <w:sz w:val="24"/>
          <w:szCs w:val="24"/>
        </w:rPr>
        <w:t>.2016 г. по 3</w:t>
      </w:r>
      <w:r>
        <w:rPr>
          <w:rFonts w:ascii="Times New Roman" w:hAnsi="Times New Roman" w:cs="Times New Roman"/>
          <w:sz w:val="24"/>
          <w:szCs w:val="24"/>
        </w:rPr>
        <w:t>1.12</w:t>
      </w:r>
      <w:r w:rsidRPr="0092313F">
        <w:rPr>
          <w:rFonts w:ascii="Times New Roman" w:hAnsi="Times New Roman" w:cs="Times New Roman"/>
          <w:sz w:val="24"/>
          <w:szCs w:val="24"/>
        </w:rPr>
        <w:t>.2016 г.</w:t>
      </w:r>
    </w:p>
    <w:p w:rsidR="00C37F97" w:rsidRPr="007442E0" w:rsidRDefault="00C37F97" w:rsidP="00C37F97">
      <w:pPr>
        <w:numPr>
          <w:ilvl w:val="0"/>
          <w:numId w:val="31"/>
        </w:numPr>
        <w:autoSpaceDE w:val="0"/>
        <w:autoSpaceDN w:val="0"/>
        <w:adjustRightInd w:val="0"/>
        <w:spacing w:before="0"/>
        <w:contextualSpacing/>
        <w:jc w:val="both"/>
        <w:rPr>
          <w:rFonts w:ascii="Times New Roman" w:hAnsi="Times New Roman"/>
          <w:sz w:val="23"/>
          <w:szCs w:val="23"/>
        </w:rPr>
      </w:pPr>
      <w:r w:rsidRPr="0092313F">
        <w:rPr>
          <w:rFonts w:ascii="Times New Roman" w:hAnsi="Times New Roman"/>
          <w:sz w:val="23"/>
          <w:szCs w:val="23"/>
          <w:u w:val="single"/>
        </w:rPr>
        <w:t xml:space="preserve">Лот является </w:t>
      </w:r>
      <w:r w:rsidRPr="0092313F">
        <w:rPr>
          <w:rFonts w:ascii="Times New Roman" w:hAnsi="Times New Roman"/>
          <w:b/>
          <w:sz w:val="23"/>
          <w:szCs w:val="23"/>
          <w:u w:val="single"/>
        </w:rPr>
        <w:t>неделимым.</w:t>
      </w: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Default="001D13CA" w:rsidP="00C37F97">
      <w:pPr>
        <w:pStyle w:val="ab"/>
        <w:numPr>
          <w:ilvl w:val="0"/>
          <w:numId w:val="9"/>
        </w:numPr>
        <w:autoSpaceDE w:val="0"/>
        <w:autoSpaceDN w:val="0"/>
        <w:adjustRightInd w:val="0"/>
        <w:spacing w:before="0" w:line="276" w:lineRule="auto"/>
        <w:jc w:val="both"/>
        <w:rPr>
          <w:rFonts w:ascii="Times New Roman" w:hAnsi="Times New Roman"/>
          <w:b/>
          <w:szCs w:val="22"/>
        </w:rPr>
      </w:pPr>
      <w:r>
        <w:rPr>
          <w:rFonts w:ascii="Times New Roman" w:hAnsi="Times New Roman"/>
          <w:b/>
          <w:szCs w:val="22"/>
        </w:rPr>
        <w:t>Требования к предмету закупки.</w:t>
      </w:r>
      <w:r w:rsidR="00C37F97" w:rsidRPr="00DF1A61">
        <w:rPr>
          <w:rFonts w:ascii="Times New Roman" w:hAnsi="Times New Roman"/>
          <w:b/>
          <w:szCs w:val="22"/>
        </w:rPr>
        <w:t xml:space="preserve"> </w:t>
      </w:r>
    </w:p>
    <w:p w:rsidR="007442E0"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652" w:type="dxa"/>
        <w:tblInd w:w="-318" w:type="dxa"/>
        <w:shd w:val="clear" w:color="auto" w:fill="FFFFFF" w:themeFill="background1"/>
        <w:tblLayout w:type="fixed"/>
        <w:tblLook w:val="04A0" w:firstRow="1" w:lastRow="0" w:firstColumn="1" w:lastColumn="0" w:noHBand="0" w:noVBand="1"/>
      </w:tblPr>
      <w:tblGrid>
        <w:gridCol w:w="710"/>
        <w:gridCol w:w="4110"/>
        <w:gridCol w:w="2853"/>
        <w:gridCol w:w="1092"/>
        <w:gridCol w:w="1887"/>
      </w:tblGrid>
      <w:tr w:rsidR="003408B5" w:rsidRPr="001D13CA" w:rsidTr="001D13CA">
        <w:trPr>
          <w:trHeight w:val="315"/>
        </w:trPr>
        <w:tc>
          <w:tcPr>
            <w:tcW w:w="710" w:type="dxa"/>
            <w:shd w:val="clear" w:color="auto" w:fill="FFFFFF" w:themeFill="background1"/>
            <w:vAlign w:val="center"/>
            <w:hideMark/>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 xml:space="preserve">№ </w:t>
            </w:r>
            <w:proofErr w:type="gramStart"/>
            <w:r w:rsidRPr="00C37F97">
              <w:rPr>
                <w:rFonts w:ascii="Times New Roman" w:hAnsi="Times New Roman"/>
                <w:sz w:val="20"/>
                <w:szCs w:val="20"/>
              </w:rPr>
              <w:t>п</w:t>
            </w:r>
            <w:proofErr w:type="gramEnd"/>
            <w:r w:rsidRPr="00C37F97">
              <w:rPr>
                <w:rFonts w:ascii="Times New Roman" w:hAnsi="Times New Roman"/>
                <w:sz w:val="20"/>
                <w:szCs w:val="20"/>
              </w:rPr>
              <w:t>/п</w:t>
            </w:r>
          </w:p>
        </w:tc>
        <w:tc>
          <w:tcPr>
            <w:tcW w:w="4110"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Требования (параметр оценки)</w:t>
            </w:r>
          </w:p>
        </w:tc>
        <w:tc>
          <w:tcPr>
            <w:tcW w:w="2853"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Требуемые подтверждающие документы</w:t>
            </w:r>
          </w:p>
        </w:tc>
        <w:tc>
          <w:tcPr>
            <w:tcW w:w="1092"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Ед. изм</w:t>
            </w:r>
            <w:r w:rsidR="003408B5" w:rsidRPr="001D13CA">
              <w:rPr>
                <w:rFonts w:ascii="Times New Roman" w:hAnsi="Times New Roman"/>
                <w:sz w:val="20"/>
                <w:szCs w:val="20"/>
              </w:rPr>
              <w:t>.</w:t>
            </w:r>
          </w:p>
        </w:tc>
        <w:tc>
          <w:tcPr>
            <w:tcW w:w="1887"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Условия соответствия</w:t>
            </w:r>
          </w:p>
        </w:tc>
      </w:tr>
      <w:tr w:rsidR="003408B5" w:rsidRPr="001D13CA" w:rsidTr="001D13CA">
        <w:trPr>
          <w:trHeight w:val="70"/>
        </w:trPr>
        <w:tc>
          <w:tcPr>
            <w:tcW w:w="7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1</w:t>
            </w:r>
          </w:p>
        </w:tc>
        <w:tc>
          <w:tcPr>
            <w:tcW w:w="41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2</w:t>
            </w:r>
          </w:p>
        </w:tc>
        <w:tc>
          <w:tcPr>
            <w:tcW w:w="2853"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3</w:t>
            </w:r>
          </w:p>
        </w:tc>
        <w:tc>
          <w:tcPr>
            <w:tcW w:w="109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4</w:t>
            </w:r>
          </w:p>
        </w:tc>
        <w:tc>
          <w:tcPr>
            <w:tcW w:w="1887"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5</w:t>
            </w:r>
          </w:p>
        </w:tc>
      </w:tr>
      <w:tr w:rsidR="00C37F97" w:rsidRPr="001D13CA" w:rsidTr="001D13CA">
        <w:trPr>
          <w:trHeight w:val="142"/>
        </w:trPr>
        <w:tc>
          <w:tcPr>
            <w:tcW w:w="10652" w:type="dxa"/>
            <w:gridSpan w:val="5"/>
            <w:shd w:val="clear" w:color="auto" w:fill="FFFFFF" w:themeFill="background1"/>
          </w:tcPr>
          <w:p w:rsidR="00C37F97" w:rsidRPr="001D13CA" w:rsidRDefault="00C37F97" w:rsidP="003408B5">
            <w:pPr>
              <w:pStyle w:val="ab"/>
              <w:numPr>
                <w:ilvl w:val="0"/>
                <w:numId w:val="32"/>
              </w:numPr>
              <w:jc w:val="center"/>
              <w:rPr>
                <w:rFonts w:ascii="Times New Roman" w:hAnsi="Times New Roman"/>
                <w:i/>
                <w:sz w:val="20"/>
                <w:szCs w:val="20"/>
              </w:rPr>
            </w:pPr>
            <w:r w:rsidRPr="001D13CA">
              <w:rPr>
                <w:rFonts w:ascii="Times New Roman" w:hAnsi="Times New Roman"/>
                <w:i/>
                <w:sz w:val="20"/>
                <w:szCs w:val="20"/>
              </w:rPr>
              <w:t>Общие положения</w:t>
            </w:r>
          </w:p>
        </w:tc>
      </w:tr>
      <w:tr w:rsidR="003408B5" w:rsidRPr="001D13CA" w:rsidTr="001D13CA">
        <w:trPr>
          <w:trHeight w:val="866"/>
        </w:trPr>
        <w:tc>
          <w:tcPr>
            <w:tcW w:w="710" w:type="dxa"/>
            <w:tcBorders>
              <w:bottom w:val="single" w:sz="4" w:space="0" w:color="auto"/>
            </w:tcBorders>
            <w:shd w:val="clear" w:color="auto" w:fill="FFFFFF" w:themeFill="background1"/>
            <w:hideMark/>
          </w:tcPr>
          <w:p w:rsidR="003408B5" w:rsidRPr="00C37F97" w:rsidRDefault="003408B5" w:rsidP="00C37F97">
            <w:pPr>
              <w:rPr>
                <w:rFonts w:ascii="Times New Roman" w:hAnsi="Times New Roman"/>
                <w:sz w:val="20"/>
                <w:szCs w:val="20"/>
              </w:rPr>
            </w:pPr>
            <w:r w:rsidRPr="00C37F97">
              <w:rPr>
                <w:rFonts w:ascii="Times New Roman" w:hAnsi="Times New Roman"/>
                <w:sz w:val="20"/>
                <w:szCs w:val="20"/>
              </w:rPr>
              <w:t>1</w:t>
            </w:r>
            <w:r w:rsidRPr="001D13CA">
              <w:rPr>
                <w:rFonts w:ascii="Times New Roman" w:hAnsi="Times New Roman"/>
                <w:sz w:val="20"/>
                <w:szCs w:val="20"/>
              </w:rPr>
              <w:t>.1.</w:t>
            </w:r>
          </w:p>
        </w:tc>
        <w:tc>
          <w:tcPr>
            <w:tcW w:w="4110" w:type="dxa"/>
            <w:tcBorders>
              <w:bottom w:val="single" w:sz="4" w:space="0" w:color="auto"/>
            </w:tcBorders>
            <w:shd w:val="clear" w:color="auto" w:fill="FFFFFF" w:themeFill="background1"/>
          </w:tcPr>
          <w:p w:rsidR="003408B5" w:rsidRPr="00C37F97" w:rsidRDefault="003408B5" w:rsidP="00C37F97">
            <w:pPr>
              <w:rPr>
                <w:rFonts w:ascii="Times New Roman" w:hAnsi="Times New Roman"/>
                <w:sz w:val="20"/>
                <w:szCs w:val="20"/>
              </w:rPr>
            </w:pPr>
            <w:r w:rsidRPr="001D13CA">
              <w:rPr>
                <w:rFonts w:ascii="Times New Roman" w:hAnsi="Times New Roman"/>
                <w:sz w:val="20"/>
                <w:szCs w:val="20"/>
              </w:rPr>
              <w:t>Возможность оказания консалтинговых услуг по настройке и изменению системы SAP</w:t>
            </w:r>
          </w:p>
        </w:tc>
        <w:tc>
          <w:tcPr>
            <w:tcW w:w="2853" w:type="dxa"/>
            <w:vMerge w:val="restart"/>
            <w:tcBorders>
              <w:bottom w:val="single" w:sz="4" w:space="0" w:color="auto"/>
            </w:tcBorders>
            <w:shd w:val="clear" w:color="auto" w:fill="FFFFFF" w:themeFill="background1"/>
          </w:tcPr>
          <w:p w:rsidR="003408B5" w:rsidRPr="001D13CA" w:rsidRDefault="003408B5" w:rsidP="003408B5">
            <w:pPr>
              <w:jc w:val="center"/>
              <w:rPr>
                <w:rFonts w:ascii="Times New Roman" w:hAnsi="Times New Roman"/>
                <w:sz w:val="20"/>
                <w:szCs w:val="20"/>
              </w:rPr>
            </w:pPr>
          </w:p>
          <w:p w:rsidR="003408B5" w:rsidRPr="00C37F97" w:rsidRDefault="003408B5" w:rsidP="003408B5">
            <w:pPr>
              <w:jc w:val="center"/>
              <w:rPr>
                <w:rFonts w:ascii="Times New Roman" w:hAnsi="Times New Roman"/>
                <w:sz w:val="20"/>
                <w:szCs w:val="20"/>
              </w:rPr>
            </w:pPr>
            <w:r w:rsidRPr="001D13CA">
              <w:rPr>
                <w:rFonts w:ascii="Times New Roman" w:hAnsi="Times New Roman"/>
                <w:sz w:val="20"/>
                <w:szCs w:val="20"/>
              </w:rPr>
              <w:t>Справка за подписью Руководителя</w:t>
            </w:r>
          </w:p>
        </w:tc>
        <w:tc>
          <w:tcPr>
            <w:tcW w:w="1092" w:type="dxa"/>
            <w:vMerge w:val="restart"/>
            <w:shd w:val="clear" w:color="auto" w:fill="FFFFFF" w:themeFill="background1"/>
            <w:hideMark/>
          </w:tcPr>
          <w:p w:rsidR="003408B5" w:rsidRPr="001D13CA" w:rsidRDefault="003408B5" w:rsidP="00C37F97">
            <w:pPr>
              <w:rPr>
                <w:rFonts w:ascii="Times New Roman" w:hAnsi="Times New Roman"/>
                <w:sz w:val="20"/>
                <w:szCs w:val="20"/>
              </w:rPr>
            </w:pPr>
          </w:p>
          <w:p w:rsidR="003408B5" w:rsidRPr="00C37F97" w:rsidRDefault="003408B5"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hideMark/>
          </w:tcPr>
          <w:p w:rsidR="003408B5" w:rsidRPr="001D13CA" w:rsidRDefault="003408B5" w:rsidP="00C37F9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3408B5" w:rsidRPr="00C37F97" w:rsidRDefault="003408B5" w:rsidP="003408B5">
            <w:pPr>
              <w:rPr>
                <w:rFonts w:ascii="Times New Roman" w:hAnsi="Times New Roman"/>
                <w:sz w:val="20"/>
                <w:szCs w:val="20"/>
              </w:rPr>
            </w:pPr>
          </w:p>
        </w:tc>
      </w:tr>
      <w:tr w:rsidR="003408B5" w:rsidRPr="001D13CA" w:rsidTr="001D13CA">
        <w:trPr>
          <w:trHeight w:val="850"/>
        </w:trPr>
        <w:tc>
          <w:tcPr>
            <w:tcW w:w="710" w:type="dxa"/>
            <w:tcBorders>
              <w:bottom w:val="single" w:sz="4" w:space="0" w:color="auto"/>
            </w:tcBorders>
            <w:shd w:val="clear" w:color="auto" w:fill="FFFFFF" w:themeFill="background1"/>
            <w:hideMark/>
          </w:tcPr>
          <w:p w:rsidR="003408B5" w:rsidRPr="00C37F97" w:rsidRDefault="003408B5" w:rsidP="00C37F97">
            <w:pPr>
              <w:rPr>
                <w:rFonts w:ascii="Times New Roman" w:hAnsi="Times New Roman"/>
                <w:sz w:val="20"/>
                <w:szCs w:val="20"/>
              </w:rPr>
            </w:pPr>
            <w:r w:rsidRPr="001D13CA">
              <w:rPr>
                <w:rFonts w:ascii="Times New Roman" w:hAnsi="Times New Roman"/>
                <w:sz w:val="20"/>
                <w:szCs w:val="20"/>
              </w:rPr>
              <w:t>1.2.</w:t>
            </w:r>
          </w:p>
        </w:tc>
        <w:tc>
          <w:tcPr>
            <w:tcW w:w="4110" w:type="dxa"/>
            <w:tcBorders>
              <w:bottom w:val="single" w:sz="4" w:space="0" w:color="auto"/>
            </w:tcBorders>
            <w:shd w:val="clear" w:color="auto" w:fill="FFFFFF" w:themeFill="background1"/>
            <w:hideMark/>
          </w:tcPr>
          <w:p w:rsidR="003408B5" w:rsidRPr="00C37F97" w:rsidRDefault="003408B5" w:rsidP="00C37F97">
            <w:pPr>
              <w:rPr>
                <w:rFonts w:ascii="Times New Roman" w:hAnsi="Times New Roman"/>
                <w:sz w:val="20"/>
                <w:szCs w:val="20"/>
              </w:rPr>
            </w:pPr>
            <w:r w:rsidRPr="001D13CA">
              <w:rPr>
                <w:rFonts w:ascii="Times New Roman" w:hAnsi="Times New Roman"/>
                <w:sz w:val="20"/>
                <w:szCs w:val="20"/>
              </w:rPr>
              <w:t>Сроки (периоды) выполнения работ/оказания услуг: 01.02.2016 – 31.12.2016</w:t>
            </w:r>
          </w:p>
        </w:tc>
        <w:tc>
          <w:tcPr>
            <w:tcW w:w="2853" w:type="dxa"/>
            <w:vMerge/>
            <w:tcBorders>
              <w:bottom w:val="single" w:sz="4" w:space="0" w:color="auto"/>
            </w:tcBorders>
            <w:shd w:val="clear" w:color="auto" w:fill="FFFFFF" w:themeFill="background1"/>
            <w:hideMark/>
          </w:tcPr>
          <w:p w:rsidR="003408B5" w:rsidRPr="00C37F97" w:rsidRDefault="003408B5" w:rsidP="00C37F97">
            <w:pPr>
              <w:rPr>
                <w:rFonts w:ascii="Times New Roman" w:hAnsi="Times New Roman"/>
                <w:sz w:val="20"/>
                <w:szCs w:val="20"/>
              </w:rPr>
            </w:pPr>
          </w:p>
        </w:tc>
        <w:tc>
          <w:tcPr>
            <w:tcW w:w="1092" w:type="dxa"/>
            <w:vMerge/>
            <w:tcBorders>
              <w:bottom w:val="single" w:sz="4" w:space="0" w:color="auto"/>
            </w:tcBorders>
            <w:shd w:val="clear" w:color="auto" w:fill="FFFFFF" w:themeFill="background1"/>
            <w:hideMark/>
          </w:tcPr>
          <w:p w:rsidR="003408B5" w:rsidRPr="00C37F97" w:rsidRDefault="003408B5" w:rsidP="00C37F97">
            <w:pPr>
              <w:rPr>
                <w:rFonts w:ascii="Times New Roman" w:hAnsi="Times New Roman"/>
                <w:sz w:val="20"/>
                <w:szCs w:val="20"/>
              </w:rPr>
            </w:pPr>
          </w:p>
        </w:tc>
        <w:tc>
          <w:tcPr>
            <w:tcW w:w="1887" w:type="dxa"/>
            <w:vMerge/>
            <w:tcBorders>
              <w:bottom w:val="single" w:sz="4" w:space="0" w:color="auto"/>
            </w:tcBorders>
            <w:shd w:val="clear" w:color="auto" w:fill="FFFFFF" w:themeFill="background1"/>
            <w:vAlign w:val="center"/>
            <w:hideMark/>
          </w:tcPr>
          <w:p w:rsidR="003408B5" w:rsidRPr="00C37F97" w:rsidRDefault="003408B5" w:rsidP="00C37F97">
            <w:pPr>
              <w:jc w:val="center"/>
              <w:rPr>
                <w:rFonts w:ascii="Times New Roman" w:hAnsi="Times New Roman"/>
                <w:sz w:val="20"/>
                <w:szCs w:val="20"/>
              </w:rPr>
            </w:pPr>
          </w:p>
        </w:tc>
      </w:tr>
      <w:tr w:rsidR="00C37F97" w:rsidRPr="001D13CA" w:rsidTr="001D13CA">
        <w:trPr>
          <w:trHeight w:val="300"/>
        </w:trPr>
        <w:tc>
          <w:tcPr>
            <w:tcW w:w="10652" w:type="dxa"/>
            <w:gridSpan w:val="5"/>
            <w:shd w:val="clear" w:color="auto" w:fill="FFFFFF" w:themeFill="background1"/>
          </w:tcPr>
          <w:p w:rsidR="00C37F97" w:rsidRPr="001D13CA" w:rsidRDefault="00C37F97" w:rsidP="003408B5">
            <w:pPr>
              <w:pStyle w:val="ab"/>
              <w:numPr>
                <w:ilvl w:val="0"/>
                <w:numId w:val="32"/>
              </w:numPr>
              <w:jc w:val="center"/>
              <w:rPr>
                <w:rFonts w:ascii="Times New Roman" w:hAnsi="Times New Roman"/>
                <w:i/>
                <w:sz w:val="20"/>
                <w:szCs w:val="20"/>
              </w:rPr>
            </w:pPr>
            <w:r w:rsidRPr="001D13CA">
              <w:rPr>
                <w:rFonts w:ascii="Times New Roman" w:hAnsi="Times New Roman"/>
                <w:i/>
                <w:sz w:val="20"/>
                <w:szCs w:val="20"/>
              </w:rPr>
              <w:t>Требования к качеству работ (услуг), в том числе технология производства работ (оказания услуг), методы производства работ (оказания услуг), методики оказания услуг, организационно-технологическая схема производства работ</w:t>
            </w:r>
          </w:p>
        </w:tc>
      </w:tr>
      <w:tr w:rsidR="001D13CA" w:rsidRPr="001D13CA" w:rsidTr="001D13CA">
        <w:trPr>
          <w:trHeight w:val="659"/>
        </w:trPr>
        <w:tc>
          <w:tcPr>
            <w:tcW w:w="710" w:type="dxa"/>
            <w:tcBorders>
              <w:bottom w:val="single" w:sz="4" w:space="0" w:color="auto"/>
            </w:tcBorders>
            <w:shd w:val="clear" w:color="auto" w:fill="FFFFFF" w:themeFill="background1"/>
            <w:hideMark/>
          </w:tcPr>
          <w:p w:rsidR="001D13CA" w:rsidRPr="00C37F97" w:rsidRDefault="001D13CA" w:rsidP="00C37F97">
            <w:pPr>
              <w:rPr>
                <w:rFonts w:ascii="Times New Roman" w:hAnsi="Times New Roman"/>
                <w:sz w:val="20"/>
                <w:szCs w:val="20"/>
              </w:rPr>
            </w:pPr>
            <w:r w:rsidRPr="001D13CA">
              <w:rPr>
                <w:rFonts w:ascii="Times New Roman" w:hAnsi="Times New Roman"/>
                <w:sz w:val="20"/>
                <w:szCs w:val="20"/>
              </w:rPr>
              <w:t>2.1.</w:t>
            </w:r>
          </w:p>
        </w:tc>
        <w:tc>
          <w:tcPr>
            <w:tcW w:w="4110" w:type="dxa"/>
            <w:tcBorders>
              <w:bottom w:val="single" w:sz="4" w:space="0" w:color="auto"/>
            </w:tcBorders>
            <w:shd w:val="clear" w:color="auto" w:fill="FFFFFF" w:themeFill="background1"/>
          </w:tcPr>
          <w:p w:rsidR="001D13CA" w:rsidRPr="00C37F97" w:rsidRDefault="001D13CA" w:rsidP="001D13CA">
            <w:pPr>
              <w:rPr>
                <w:rFonts w:ascii="Times New Roman" w:hAnsi="Times New Roman"/>
                <w:sz w:val="20"/>
                <w:szCs w:val="20"/>
              </w:rPr>
            </w:pPr>
            <w:r w:rsidRPr="001D13CA">
              <w:rPr>
                <w:rFonts w:ascii="Times New Roman" w:hAnsi="Times New Roman"/>
                <w:sz w:val="20"/>
                <w:szCs w:val="20"/>
              </w:rPr>
              <w:t>Виды консалтинговых услуг по настройке и изменению системы SAP:</w:t>
            </w:r>
          </w:p>
        </w:tc>
        <w:tc>
          <w:tcPr>
            <w:tcW w:w="2853"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3408B5">
            <w:pPr>
              <w:jc w:val="center"/>
              <w:rPr>
                <w:rFonts w:ascii="Times New Roman" w:hAnsi="Times New Roman"/>
                <w:sz w:val="20"/>
                <w:szCs w:val="20"/>
              </w:rPr>
            </w:pPr>
            <w:r w:rsidRPr="001D13CA">
              <w:rPr>
                <w:rFonts w:ascii="Times New Roman" w:hAnsi="Times New Roman"/>
                <w:sz w:val="20"/>
                <w:szCs w:val="20"/>
              </w:rPr>
              <w:t>Справка за подписью Руководителя</w:t>
            </w:r>
          </w:p>
        </w:tc>
        <w:tc>
          <w:tcPr>
            <w:tcW w:w="1092" w:type="dxa"/>
            <w:vMerge w:val="restart"/>
            <w:shd w:val="clear" w:color="auto" w:fill="FFFFFF" w:themeFill="background1"/>
          </w:tcPr>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1D13CA" w:rsidRDefault="001D13CA" w:rsidP="00C37F97">
            <w:pPr>
              <w:rPr>
                <w:rFonts w:ascii="Times New Roman" w:hAnsi="Times New Roman"/>
                <w:sz w:val="20"/>
                <w:szCs w:val="20"/>
              </w:rPr>
            </w:pPr>
          </w:p>
          <w:p w:rsidR="001D13CA" w:rsidRPr="00C37F97" w:rsidRDefault="001D13CA" w:rsidP="00C37F97">
            <w:pPr>
              <w:rPr>
                <w:rFonts w:ascii="Times New Roman" w:hAnsi="Times New Roman"/>
                <w:sz w:val="20"/>
                <w:szCs w:val="20"/>
              </w:rPr>
            </w:pPr>
            <w:r w:rsidRPr="00C37F97">
              <w:rPr>
                <w:rFonts w:ascii="Times New Roman" w:hAnsi="Times New Roman"/>
                <w:sz w:val="20"/>
                <w:szCs w:val="20"/>
              </w:rPr>
              <w:t>Да/нет</w:t>
            </w:r>
          </w:p>
        </w:tc>
        <w:tc>
          <w:tcPr>
            <w:tcW w:w="1887" w:type="dxa"/>
            <w:vMerge w:val="restart"/>
            <w:shd w:val="clear" w:color="auto" w:fill="FFFFFF" w:themeFill="background1"/>
            <w:vAlign w:val="center"/>
          </w:tcPr>
          <w:p w:rsidR="001D13CA" w:rsidRPr="001D13CA" w:rsidRDefault="001D13CA"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1D13CA" w:rsidRPr="00C37F97"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2.1.1</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 xml:space="preserve"> консалтинговые услуги в области инсталляции программного обеспечения SAP AG</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2.1.2</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консалтинговые услуги в рамках внедрения программного обеспечения SAP AG</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2.1.3</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консалтинговые услуги в области управления проектами внедрения.</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2.2.</w:t>
            </w:r>
          </w:p>
        </w:tc>
        <w:tc>
          <w:tcPr>
            <w:tcW w:w="4110" w:type="dxa"/>
            <w:shd w:val="clear" w:color="auto" w:fill="FFFFFF" w:themeFill="background1"/>
            <w:vAlign w:val="center"/>
          </w:tcPr>
          <w:p w:rsidR="001D13CA" w:rsidRPr="001D13CA" w:rsidRDefault="001D13CA">
            <w:pPr>
              <w:rPr>
                <w:rFonts w:ascii="Times New Roman" w:hAnsi="Times New Roman"/>
                <w:sz w:val="20"/>
                <w:szCs w:val="20"/>
              </w:rPr>
            </w:pPr>
            <w:r w:rsidRPr="001D13CA">
              <w:rPr>
                <w:rFonts w:ascii="Times New Roman" w:hAnsi="Times New Roman"/>
                <w:sz w:val="20"/>
                <w:szCs w:val="20"/>
              </w:rPr>
              <w:t>Скорость решения проблем  по приоритету:</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2.2.1</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высокий приоритет – не более 36 часов</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2.2.2</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средний приоритет – не более 72 часов</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2.2.3</w:t>
            </w:r>
          </w:p>
        </w:tc>
        <w:tc>
          <w:tcPr>
            <w:tcW w:w="4110" w:type="dxa"/>
            <w:shd w:val="clear" w:color="auto" w:fill="FFFFFF" w:themeFill="background1"/>
            <w:vAlign w:val="center"/>
          </w:tcPr>
          <w:p w:rsidR="001D13CA" w:rsidRPr="001D13CA" w:rsidRDefault="001D13CA" w:rsidP="001D13CA">
            <w:pPr>
              <w:rPr>
                <w:rFonts w:ascii="Times New Roman" w:hAnsi="Times New Roman"/>
                <w:i/>
                <w:iCs/>
                <w:sz w:val="20"/>
                <w:szCs w:val="20"/>
              </w:rPr>
            </w:pPr>
            <w:r w:rsidRPr="001D13CA">
              <w:rPr>
                <w:rFonts w:ascii="Times New Roman" w:hAnsi="Times New Roman"/>
                <w:i/>
                <w:iCs/>
                <w:sz w:val="20"/>
                <w:szCs w:val="20"/>
              </w:rPr>
              <w:t>низкий приоритет – не более 168 часов</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lastRenderedPageBreak/>
              <w:t>2.3.</w:t>
            </w:r>
          </w:p>
        </w:tc>
        <w:tc>
          <w:tcPr>
            <w:tcW w:w="4110" w:type="dxa"/>
            <w:shd w:val="clear" w:color="auto" w:fill="FFFFFF" w:themeFill="background1"/>
            <w:vAlign w:val="center"/>
          </w:tcPr>
          <w:p w:rsidR="001D13CA" w:rsidRPr="001D13CA" w:rsidRDefault="001D13CA">
            <w:pPr>
              <w:rPr>
                <w:rFonts w:ascii="Times New Roman" w:hAnsi="Times New Roman"/>
                <w:sz w:val="20"/>
                <w:szCs w:val="20"/>
              </w:rPr>
            </w:pPr>
            <w:r w:rsidRPr="001D13CA">
              <w:rPr>
                <w:rFonts w:ascii="Times New Roman" w:hAnsi="Times New Roman"/>
                <w:sz w:val="20"/>
                <w:szCs w:val="20"/>
              </w:rPr>
              <w:t>Вид доступа:</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2.3.1</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На территории Заказчика</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2.3.2</w:t>
            </w:r>
          </w:p>
        </w:tc>
        <w:tc>
          <w:tcPr>
            <w:tcW w:w="4110" w:type="dxa"/>
            <w:shd w:val="clear" w:color="auto" w:fill="FFFFFF" w:themeFill="background1"/>
            <w:vAlign w:val="center"/>
          </w:tcPr>
          <w:p w:rsidR="001D13CA" w:rsidRPr="001D13CA" w:rsidRDefault="001D13CA">
            <w:pPr>
              <w:rPr>
                <w:rFonts w:ascii="Times New Roman" w:hAnsi="Times New Roman"/>
                <w:i/>
                <w:iCs/>
                <w:sz w:val="20"/>
                <w:szCs w:val="20"/>
              </w:rPr>
            </w:pPr>
            <w:r w:rsidRPr="001D13CA">
              <w:rPr>
                <w:rFonts w:ascii="Times New Roman" w:hAnsi="Times New Roman"/>
                <w:i/>
                <w:iCs/>
                <w:sz w:val="20"/>
                <w:szCs w:val="20"/>
              </w:rPr>
              <w:t>Удаленный доступ в режиме 24часа/7дней в неделю</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00"/>
        </w:trPr>
        <w:tc>
          <w:tcPr>
            <w:tcW w:w="710" w:type="dxa"/>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2.4.</w:t>
            </w:r>
          </w:p>
        </w:tc>
        <w:tc>
          <w:tcPr>
            <w:tcW w:w="4110" w:type="dxa"/>
            <w:shd w:val="clear" w:color="auto" w:fill="FFFFFF" w:themeFill="background1"/>
            <w:vAlign w:val="center"/>
          </w:tcPr>
          <w:p w:rsidR="001D13CA" w:rsidRPr="001D13CA" w:rsidRDefault="001D13CA">
            <w:pPr>
              <w:rPr>
                <w:rFonts w:ascii="Times New Roman" w:hAnsi="Times New Roman"/>
                <w:sz w:val="20"/>
                <w:szCs w:val="20"/>
              </w:rPr>
            </w:pPr>
            <w:r w:rsidRPr="001D13CA">
              <w:rPr>
                <w:rFonts w:ascii="Times New Roman" w:hAnsi="Times New Roman"/>
                <w:sz w:val="20"/>
                <w:szCs w:val="20"/>
              </w:rPr>
              <w:t>Возможность принятие заявки на оказание услуг посредством:</w:t>
            </w:r>
          </w:p>
        </w:tc>
        <w:tc>
          <w:tcPr>
            <w:tcW w:w="2853" w:type="dxa"/>
            <w:vMerge/>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1D13CA" w:rsidRPr="001D13CA" w:rsidTr="001D13CA">
        <w:trPr>
          <w:trHeight w:val="350"/>
        </w:trPr>
        <w:tc>
          <w:tcPr>
            <w:tcW w:w="710" w:type="dxa"/>
            <w:shd w:val="clear" w:color="auto" w:fill="FFFFFF" w:themeFill="background1"/>
            <w:hideMark/>
          </w:tcPr>
          <w:p w:rsidR="001D13CA" w:rsidRPr="00C37F97" w:rsidRDefault="001D13CA" w:rsidP="00C37F97">
            <w:pPr>
              <w:rPr>
                <w:rFonts w:ascii="Times New Roman" w:hAnsi="Times New Roman"/>
                <w:sz w:val="20"/>
                <w:szCs w:val="20"/>
              </w:rPr>
            </w:pPr>
            <w:r w:rsidRPr="001D13CA">
              <w:rPr>
                <w:rFonts w:ascii="Times New Roman" w:hAnsi="Times New Roman"/>
                <w:sz w:val="20"/>
                <w:szCs w:val="20"/>
              </w:rPr>
              <w:t>2.4.1</w:t>
            </w:r>
          </w:p>
        </w:tc>
        <w:tc>
          <w:tcPr>
            <w:tcW w:w="4110" w:type="dxa"/>
            <w:shd w:val="clear" w:color="auto" w:fill="FFFFFF" w:themeFill="background1"/>
            <w:vAlign w:val="center"/>
          </w:tcPr>
          <w:p w:rsidR="001D13CA" w:rsidRPr="001D13CA" w:rsidRDefault="001D13CA" w:rsidP="003408B5">
            <w:pPr>
              <w:rPr>
                <w:rFonts w:ascii="Times New Roman" w:hAnsi="Times New Roman"/>
                <w:i/>
                <w:iCs/>
                <w:sz w:val="20"/>
                <w:szCs w:val="20"/>
              </w:rPr>
            </w:pPr>
            <w:r w:rsidRPr="001D13CA">
              <w:rPr>
                <w:rFonts w:ascii="Times New Roman" w:hAnsi="Times New Roman"/>
                <w:i/>
                <w:iCs/>
                <w:sz w:val="20"/>
                <w:szCs w:val="20"/>
              </w:rPr>
              <w:t>телефонной связи</w:t>
            </w:r>
          </w:p>
        </w:tc>
        <w:tc>
          <w:tcPr>
            <w:tcW w:w="2853" w:type="dxa"/>
            <w:vMerge/>
            <w:shd w:val="clear" w:color="auto" w:fill="FFFFFF" w:themeFill="background1"/>
          </w:tcPr>
          <w:p w:rsidR="001D13CA" w:rsidRPr="00C37F97" w:rsidRDefault="001D13CA" w:rsidP="00C37F97">
            <w:pPr>
              <w:rPr>
                <w:rFonts w:ascii="Times New Roman" w:hAnsi="Times New Roman"/>
                <w:sz w:val="20"/>
                <w:szCs w:val="20"/>
              </w:rPr>
            </w:pPr>
          </w:p>
        </w:tc>
        <w:tc>
          <w:tcPr>
            <w:tcW w:w="1092" w:type="dxa"/>
            <w:vMerge/>
            <w:shd w:val="clear" w:color="auto" w:fill="FFFFFF" w:themeFill="background1"/>
          </w:tcPr>
          <w:p w:rsidR="001D13CA" w:rsidRPr="00C37F97" w:rsidRDefault="001D13CA" w:rsidP="00C37F97">
            <w:pPr>
              <w:rPr>
                <w:rFonts w:ascii="Times New Roman" w:hAnsi="Times New Roman"/>
                <w:sz w:val="20"/>
                <w:szCs w:val="20"/>
              </w:rPr>
            </w:pPr>
          </w:p>
        </w:tc>
        <w:tc>
          <w:tcPr>
            <w:tcW w:w="1887" w:type="dxa"/>
            <w:vMerge/>
            <w:shd w:val="clear" w:color="auto" w:fill="FFFFFF" w:themeFill="background1"/>
            <w:vAlign w:val="center"/>
          </w:tcPr>
          <w:p w:rsidR="001D13CA" w:rsidRPr="00C37F97" w:rsidRDefault="001D13CA" w:rsidP="00C37F97">
            <w:pPr>
              <w:jc w:val="center"/>
              <w:rPr>
                <w:rFonts w:ascii="Times New Roman" w:hAnsi="Times New Roman"/>
                <w:sz w:val="20"/>
                <w:szCs w:val="20"/>
              </w:rPr>
            </w:pPr>
          </w:p>
        </w:tc>
      </w:tr>
      <w:tr w:rsidR="001D13CA" w:rsidRPr="001D13CA" w:rsidTr="001D13CA">
        <w:trPr>
          <w:trHeight w:val="733"/>
        </w:trPr>
        <w:tc>
          <w:tcPr>
            <w:tcW w:w="710" w:type="dxa"/>
            <w:tcBorders>
              <w:bottom w:val="single" w:sz="4" w:space="0" w:color="auto"/>
            </w:tcBorders>
            <w:shd w:val="clear" w:color="auto" w:fill="FFFFFF" w:themeFill="background1"/>
          </w:tcPr>
          <w:p w:rsidR="001D13CA" w:rsidRPr="001D13CA" w:rsidRDefault="001D13CA" w:rsidP="00C37F97">
            <w:pPr>
              <w:rPr>
                <w:rFonts w:ascii="Times New Roman" w:hAnsi="Times New Roman"/>
                <w:sz w:val="20"/>
                <w:szCs w:val="20"/>
              </w:rPr>
            </w:pPr>
            <w:r w:rsidRPr="001D13CA">
              <w:rPr>
                <w:rFonts w:ascii="Times New Roman" w:hAnsi="Times New Roman"/>
                <w:sz w:val="20"/>
                <w:szCs w:val="20"/>
              </w:rPr>
              <w:t>2.4.2</w:t>
            </w:r>
          </w:p>
        </w:tc>
        <w:tc>
          <w:tcPr>
            <w:tcW w:w="4110" w:type="dxa"/>
            <w:tcBorders>
              <w:bottom w:val="single" w:sz="4" w:space="0" w:color="auto"/>
            </w:tcBorders>
            <w:shd w:val="clear" w:color="auto" w:fill="FFFFFF" w:themeFill="background1"/>
            <w:vAlign w:val="center"/>
          </w:tcPr>
          <w:p w:rsidR="001D13CA" w:rsidRPr="001D13CA" w:rsidRDefault="001D13CA" w:rsidP="003408B5">
            <w:pPr>
              <w:rPr>
                <w:rFonts w:ascii="Times New Roman" w:hAnsi="Times New Roman"/>
                <w:sz w:val="20"/>
                <w:szCs w:val="20"/>
              </w:rPr>
            </w:pPr>
            <w:r w:rsidRPr="001D13CA">
              <w:rPr>
                <w:rFonts w:ascii="Times New Roman" w:hAnsi="Times New Roman"/>
                <w:i/>
                <w:iCs/>
                <w:sz w:val="20"/>
                <w:szCs w:val="20"/>
              </w:rPr>
              <w:t>направления на электронный адрес заявки на оказание услуг</w:t>
            </w:r>
          </w:p>
        </w:tc>
        <w:tc>
          <w:tcPr>
            <w:tcW w:w="2853" w:type="dxa"/>
            <w:vMerge/>
            <w:tcBorders>
              <w:bottom w:val="single" w:sz="4" w:space="0" w:color="auto"/>
            </w:tcBorders>
            <w:shd w:val="clear" w:color="auto" w:fill="FFFFFF" w:themeFill="background1"/>
          </w:tcPr>
          <w:p w:rsidR="001D13CA" w:rsidRPr="001D13CA" w:rsidRDefault="001D13CA" w:rsidP="00C37F97">
            <w:pPr>
              <w:rPr>
                <w:rFonts w:ascii="Times New Roman" w:hAnsi="Times New Roman"/>
                <w:sz w:val="20"/>
                <w:szCs w:val="20"/>
              </w:rPr>
            </w:pPr>
          </w:p>
        </w:tc>
        <w:tc>
          <w:tcPr>
            <w:tcW w:w="1092" w:type="dxa"/>
            <w:vMerge/>
            <w:tcBorders>
              <w:bottom w:val="single" w:sz="4" w:space="0" w:color="auto"/>
            </w:tcBorders>
            <w:shd w:val="clear" w:color="auto" w:fill="FFFFFF" w:themeFill="background1"/>
          </w:tcPr>
          <w:p w:rsidR="001D13CA" w:rsidRPr="001D13CA" w:rsidRDefault="001D13CA" w:rsidP="00C37F97">
            <w:pPr>
              <w:rPr>
                <w:rFonts w:ascii="Times New Roman" w:hAnsi="Times New Roman"/>
                <w:sz w:val="20"/>
                <w:szCs w:val="20"/>
              </w:rPr>
            </w:pPr>
          </w:p>
        </w:tc>
        <w:tc>
          <w:tcPr>
            <w:tcW w:w="1887" w:type="dxa"/>
            <w:vMerge/>
            <w:tcBorders>
              <w:bottom w:val="single" w:sz="4" w:space="0" w:color="auto"/>
            </w:tcBorders>
            <w:shd w:val="clear" w:color="auto" w:fill="FFFFFF" w:themeFill="background1"/>
            <w:vAlign w:val="center"/>
          </w:tcPr>
          <w:p w:rsidR="001D13CA" w:rsidRPr="001D13CA" w:rsidRDefault="001D13CA" w:rsidP="00C37F97">
            <w:pPr>
              <w:jc w:val="center"/>
              <w:rPr>
                <w:rFonts w:ascii="Times New Roman" w:hAnsi="Times New Roman"/>
                <w:sz w:val="20"/>
                <w:szCs w:val="20"/>
              </w:rPr>
            </w:pPr>
          </w:p>
        </w:tc>
      </w:tr>
      <w:tr w:rsidR="00C37F97" w:rsidRPr="001D13CA" w:rsidTr="001D13CA">
        <w:trPr>
          <w:trHeight w:val="350"/>
        </w:trPr>
        <w:tc>
          <w:tcPr>
            <w:tcW w:w="710" w:type="dxa"/>
            <w:shd w:val="clear" w:color="auto" w:fill="FFFFFF" w:themeFill="background1"/>
          </w:tcPr>
          <w:p w:rsidR="00C37F97" w:rsidRPr="001D13CA" w:rsidRDefault="00C37F97" w:rsidP="00C37F97">
            <w:pPr>
              <w:rPr>
                <w:rFonts w:ascii="Times New Roman" w:hAnsi="Times New Roman"/>
                <w:sz w:val="20"/>
                <w:szCs w:val="20"/>
              </w:rPr>
            </w:pPr>
          </w:p>
        </w:tc>
        <w:tc>
          <w:tcPr>
            <w:tcW w:w="9942" w:type="dxa"/>
            <w:gridSpan w:val="4"/>
            <w:shd w:val="clear" w:color="auto" w:fill="FFFFFF" w:themeFill="background1"/>
          </w:tcPr>
          <w:p w:rsidR="00C37F97" w:rsidRPr="001D13CA" w:rsidRDefault="00C37F97" w:rsidP="001D13CA">
            <w:pPr>
              <w:pStyle w:val="ab"/>
              <w:numPr>
                <w:ilvl w:val="0"/>
                <w:numId w:val="32"/>
              </w:numPr>
              <w:jc w:val="center"/>
              <w:rPr>
                <w:rFonts w:ascii="Times New Roman" w:hAnsi="Times New Roman"/>
                <w:i/>
                <w:sz w:val="20"/>
                <w:szCs w:val="20"/>
              </w:rPr>
            </w:pPr>
            <w:r w:rsidRPr="001D13CA">
              <w:rPr>
                <w:rFonts w:ascii="Times New Roman" w:hAnsi="Times New Roman"/>
                <w:i/>
                <w:sz w:val="20"/>
                <w:szCs w:val="20"/>
              </w:rPr>
              <w:t>Требования к безопасности выполнения работ/оказания услуг</w:t>
            </w:r>
          </w:p>
        </w:tc>
      </w:tr>
      <w:tr w:rsidR="00C37F97" w:rsidRPr="001D13CA" w:rsidTr="001D13CA">
        <w:trPr>
          <w:trHeight w:val="350"/>
        </w:trPr>
        <w:tc>
          <w:tcPr>
            <w:tcW w:w="710" w:type="dxa"/>
            <w:shd w:val="clear" w:color="auto" w:fill="FFFFFF" w:themeFill="background1"/>
          </w:tcPr>
          <w:p w:rsidR="00C37F97" w:rsidRPr="001D13CA" w:rsidRDefault="001D13CA" w:rsidP="00C37F97">
            <w:pPr>
              <w:rPr>
                <w:rFonts w:ascii="Times New Roman" w:hAnsi="Times New Roman"/>
                <w:sz w:val="20"/>
                <w:szCs w:val="20"/>
              </w:rPr>
            </w:pPr>
            <w:r>
              <w:rPr>
                <w:rFonts w:ascii="Times New Roman" w:hAnsi="Times New Roman"/>
                <w:sz w:val="20"/>
                <w:szCs w:val="20"/>
              </w:rPr>
              <w:t>3.1.</w:t>
            </w:r>
          </w:p>
        </w:tc>
        <w:tc>
          <w:tcPr>
            <w:tcW w:w="4110" w:type="dxa"/>
            <w:shd w:val="clear" w:color="auto" w:fill="FFFFFF" w:themeFill="background1"/>
            <w:vAlign w:val="center"/>
          </w:tcPr>
          <w:p w:rsidR="00C37F97" w:rsidRPr="001D13CA" w:rsidRDefault="00C37F97">
            <w:pPr>
              <w:rPr>
                <w:rFonts w:ascii="Times New Roman" w:hAnsi="Times New Roman"/>
                <w:sz w:val="20"/>
                <w:szCs w:val="20"/>
              </w:rPr>
            </w:pPr>
            <w:r w:rsidRPr="001D13CA">
              <w:rPr>
                <w:rFonts w:ascii="Times New Roman" w:hAnsi="Times New Roman"/>
                <w:sz w:val="20"/>
                <w:szCs w:val="20"/>
              </w:rPr>
              <w:t>Оказываемые услуги должны быть безопасны и не наносить вред имуществу и программным средствам Заказчика. Информационные обновления  SAP не должны содержать вирусы, другие вредоносные программы</w:t>
            </w:r>
          </w:p>
        </w:tc>
        <w:tc>
          <w:tcPr>
            <w:tcW w:w="2853" w:type="dxa"/>
            <w:shd w:val="clear" w:color="auto" w:fill="FFFFFF" w:themeFill="background1"/>
          </w:tcPr>
          <w:p w:rsidR="001D13CA" w:rsidRDefault="001D13CA" w:rsidP="00C37F97">
            <w:pPr>
              <w:rPr>
                <w:rFonts w:ascii="Times New Roman" w:hAnsi="Times New Roman"/>
                <w:sz w:val="20"/>
                <w:szCs w:val="20"/>
              </w:rPr>
            </w:pPr>
          </w:p>
          <w:p w:rsidR="00C37F97" w:rsidRPr="001D13CA" w:rsidRDefault="001D13CA" w:rsidP="00C37F97">
            <w:pPr>
              <w:rPr>
                <w:rFonts w:ascii="Times New Roman" w:hAnsi="Times New Roman"/>
                <w:sz w:val="20"/>
                <w:szCs w:val="20"/>
              </w:rPr>
            </w:pPr>
            <w:r w:rsidRPr="001D13CA">
              <w:rPr>
                <w:rFonts w:ascii="Times New Roman" w:hAnsi="Times New Roman"/>
                <w:sz w:val="20"/>
                <w:szCs w:val="20"/>
              </w:rPr>
              <w:t>Гарантийное письмо за подписью Руководителя</w:t>
            </w:r>
          </w:p>
        </w:tc>
        <w:tc>
          <w:tcPr>
            <w:tcW w:w="1092" w:type="dxa"/>
            <w:shd w:val="clear" w:color="auto" w:fill="FFFFFF" w:themeFill="background1"/>
          </w:tcPr>
          <w:p w:rsidR="001D13CA" w:rsidRDefault="001D13CA" w:rsidP="00C37F97">
            <w:pPr>
              <w:rPr>
                <w:rFonts w:ascii="Times New Roman" w:hAnsi="Times New Roman"/>
                <w:sz w:val="20"/>
                <w:szCs w:val="20"/>
              </w:rPr>
            </w:pPr>
          </w:p>
          <w:p w:rsidR="00C37F97" w:rsidRPr="001D13CA" w:rsidRDefault="001D13CA"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D13CA" w:rsidRPr="001D13CA" w:rsidRDefault="001D13CA"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C37F97" w:rsidRPr="001D13CA" w:rsidRDefault="00C37F97" w:rsidP="00C37F97">
            <w:pPr>
              <w:jc w:val="center"/>
              <w:rPr>
                <w:rFonts w:ascii="Times New Roman" w:hAnsi="Times New Roman"/>
                <w:sz w:val="20"/>
                <w:szCs w:val="20"/>
              </w:rPr>
            </w:pPr>
          </w:p>
        </w:tc>
      </w:tr>
      <w:tr w:rsidR="00C37F97" w:rsidRPr="001D13CA" w:rsidTr="001D13CA">
        <w:trPr>
          <w:trHeight w:val="350"/>
        </w:trPr>
        <w:tc>
          <w:tcPr>
            <w:tcW w:w="710" w:type="dxa"/>
            <w:shd w:val="clear" w:color="auto" w:fill="FFFFFF" w:themeFill="background1"/>
          </w:tcPr>
          <w:p w:rsidR="00C37F97" w:rsidRPr="001D13CA" w:rsidRDefault="001D13CA" w:rsidP="00C37F97">
            <w:pPr>
              <w:rPr>
                <w:rFonts w:ascii="Times New Roman" w:hAnsi="Times New Roman"/>
                <w:sz w:val="20"/>
                <w:szCs w:val="20"/>
              </w:rPr>
            </w:pPr>
            <w:r>
              <w:rPr>
                <w:rFonts w:ascii="Times New Roman" w:hAnsi="Times New Roman"/>
                <w:sz w:val="20"/>
                <w:szCs w:val="20"/>
              </w:rPr>
              <w:t>3.2.</w:t>
            </w:r>
          </w:p>
        </w:tc>
        <w:tc>
          <w:tcPr>
            <w:tcW w:w="4110" w:type="dxa"/>
            <w:shd w:val="clear" w:color="auto" w:fill="FFFFFF" w:themeFill="background1"/>
            <w:vAlign w:val="center"/>
          </w:tcPr>
          <w:p w:rsidR="00C37F97" w:rsidRPr="001D13CA" w:rsidRDefault="00C37F97">
            <w:pPr>
              <w:rPr>
                <w:rFonts w:ascii="Times New Roman" w:hAnsi="Times New Roman"/>
                <w:sz w:val="20"/>
                <w:szCs w:val="20"/>
              </w:rPr>
            </w:pPr>
            <w:r w:rsidRPr="001D13CA">
              <w:rPr>
                <w:rFonts w:ascii="Times New Roman" w:hAnsi="Times New Roman"/>
                <w:sz w:val="20"/>
                <w:szCs w:val="20"/>
              </w:rPr>
              <w:t>В процессе оказания услуг не должны нарушаться права третьих лиц в области патентного, авторского и смежных прав</w:t>
            </w:r>
          </w:p>
        </w:tc>
        <w:tc>
          <w:tcPr>
            <w:tcW w:w="2853" w:type="dxa"/>
            <w:shd w:val="clear" w:color="auto" w:fill="FFFFFF" w:themeFill="background1"/>
          </w:tcPr>
          <w:p w:rsidR="00C37F97" w:rsidRPr="001D13CA" w:rsidRDefault="001D13CA" w:rsidP="00C37F97">
            <w:pPr>
              <w:rPr>
                <w:rFonts w:ascii="Times New Roman" w:hAnsi="Times New Roman"/>
                <w:sz w:val="20"/>
                <w:szCs w:val="20"/>
              </w:rPr>
            </w:pPr>
            <w:r w:rsidRPr="001D13CA">
              <w:rPr>
                <w:rFonts w:ascii="Times New Roman" w:hAnsi="Times New Roman"/>
                <w:sz w:val="20"/>
                <w:szCs w:val="20"/>
              </w:rPr>
              <w:t>Гарантийное письмо за подписью Руководителя</w:t>
            </w:r>
          </w:p>
        </w:tc>
        <w:tc>
          <w:tcPr>
            <w:tcW w:w="1092" w:type="dxa"/>
            <w:shd w:val="clear" w:color="auto" w:fill="FFFFFF" w:themeFill="background1"/>
          </w:tcPr>
          <w:p w:rsidR="00C37F97" w:rsidRPr="001D13CA" w:rsidRDefault="001D13CA"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tcPr>
          <w:p w:rsidR="001D13CA" w:rsidRPr="001D13CA" w:rsidRDefault="001D13CA" w:rsidP="001D13CA">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C37F97" w:rsidRPr="001D13CA" w:rsidRDefault="00C37F97" w:rsidP="00C37F97">
            <w:pPr>
              <w:jc w:val="center"/>
              <w:rPr>
                <w:rFonts w:ascii="Times New Roman" w:hAnsi="Times New Roman"/>
                <w:sz w:val="20"/>
                <w:szCs w:val="20"/>
              </w:rPr>
            </w:pPr>
          </w:p>
        </w:tc>
      </w:tr>
    </w:tbl>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C37F97" w:rsidRDefault="001D13CA" w:rsidP="001D13CA">
      <w:pPr>
        <w:pStyle w:val="ab"/>
        <w:numPr>
          <w:ilvl w:val="0"/>
          <w:numId w:val="9"/>
        </w:numPr>
        <w:autoSpaceDE w:val="0"/>
        <w:autoSpaceDN w:val="0"/>
        <w:adjustRightInd w:val="0"/>
        <w:spacing w:before="0" w:line="276" w:lineRule="auto"/>
        <w:jc w:val="both"/>
        <w:rPr>
          <w:rFonts w:ascii="Times New Roman" w:hAnsi="Times New Roman"/>
          <w:b/>
          <w:szCs w:val="22"/>
        </w:rPr>
      </w:pPr>
      <w:r w:rsidRPr="001D13CA">
        <w:rPr>
          <w:rFonts w:ascii="Times New Roman" w:hAnsi="Times New Roman"/>
          <w:b/>
          <w:szCs w:val="22"/>
        </w:rPr>
        <w:t>Требования к контрагенту</w:t>
      </w:r>
      <w:r w:rsidR="00C37F97" w:rsidRPr="00DF1A61">
        <w:rPr>
          <w:rFonts w:ascii="Times New Roman" w:hAnsi="Times New Roman"/>
          <w:b/>
          <w:szCs w:val="22"/>
        </w:rPr>
        <w:t xml:space="preserve">: </w:t>
      </w:r>
    </w:p>
    <w:p w:rsidR="007442E0" w:rsidRPr="00DF1A61"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632" w:type="dxa"/>
        <w:tblInd w:w="-318" w:type="dxa"/>
        <w:tblLayout w:type="fixed"/>
        <w:tblLook w:val="04A0" w:firstRow="1" w:lastRow="0" w:firstColumn="1" w:lastColumn="0" w:noHBand="0" w:noVBand="1"/>
      </w:tblPr>
      <w:tblGrid>
        <w:gridCol w:w="729"/>
        <w:gridCol w:w="2978"/>
        <w:gridCol w:w="2978"/>
        <w:gridCol w:w="2160"/>
        <w:gridCol w:w="1787"/>
      </w:tblGrid>
      <w:tr w:rsidR="007442E0" w:rsidRPr="007442E0" w:rsidTr="00D350C5">
        <w:trPr>
          <w:trHeight w:val="510"/>
        </w:trPr>
        <w:tc>
          <w:tcPr>
            <w:tcW w:w="729"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 xml:space="preserve">№ </w:t>
            </w:r>
            <w:proofErr w:type="gramStart"/>
            <w:r w:rsidRPr="007442E0">
              <w:rPr>
                <w:rFonts w:ascii="Times New Roman" w:hAnsi="Times New Roman"/>
                <w:sz w:val="20"/>
                <w:szCs w:val="20"/>
              </w:rPr>
              <w:t>п</w:t>
            </w:r>
            <w:proofErr w:type="gramEnd"/>
            <w:r w:rsidRPr="007442E0">
              <w:rPr>
                <w:rFonts w:ascii="Times New Roman" w:hAnsi="Times New Roman"/>
                <w:sz w:val="20"/>
                <w:szCs w:val="20"/>
              </w:rPr>
              <w:t>/п</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Требования (параметр оценки)</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Требуемые подтверждающие документы</w:t>
            </w:r>
          </w:p>
        </w:tc>
        <w:tc>
          <w:tcPr>
            <w:tcW w:w="2160"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Ед. изм</w:t>
            </w:r>
            <w:r w:rsidR="000F3E29">
              <w:rPr>
                <w:rFonts w:ascii="Times New Roman" w:hAnsi="Times New Roman"/>
                <w:sz w:val="20"/>
                <w:szCs w:val="20"/>
              </w:rPr>
              <w:t>.</w:t>
            </w:r>
          </w:p>
        </w:tc>
        <w:tc>
          <w:tcPr>
            <w:tcW w:w="1787"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Условия соответствия</w:t>
            </w:r>
          </w:p>
        </w:tc>
      </w:tr>
      <w:tr w:rsidR="007442E0" w:rsidRPr="007442E0" w:rsidTr="007442E0">
        <w:trPr>
          <w:trHeight w:val="420"/>
        </w:trPr>
        <w:tc>
          <w:tcPr>
            <w:tcW w:w="72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1</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2</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3</w:t>
            </w:r>
          </w:p>
        </w:tc>
        <w:tc>
          <w:tcPr>
            <w:tcW w:w="2160"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4</w:t>
            </w:r>
          </w:p>
        </w:tc>
        <w:tc>
          <w:tcPr>
            <w:tcW w:w="1787"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5</w:t>
            </w:r>
          </w:p>
        </w:tc>
      </w:tr>
      <w:tr w:rsidR="007442E0" w:rsidRPr="007442E0" w:rsidTr="007442E0">
        <w:trPr>
          <w:trHeight w:val="339"/>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1.  Производственная мощность</w:t>
            </w:r>
          </w:p>
        </w:tc>
      </w:tr>
      <w:tr w:rsidR="007442E0" w:rsidRPr="007442E0" w:rsidTr="007442E0">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Объем работ за 2014 год по данному типу сделки в текущих ценах</w:t>
            </w: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об объемах работ с указанием договоров, Заказчиков, размеров выполняемых работ в денежном выражении. Указать, какое количество объемов выполняется самостоятельно (</w:t>
            </w:r>
            <w:proofErr w:type="gramStart"/>
            <w:r w:rsidRPr="007442E0">
              <w:rPr>
                <w:rFonts w:ascii="Times New Roman" w:hAnsi="Times New Roman"/>
                <w:sz w:val="20"/>
                <w:szCs w:val="20"/>
              </w:rPr>
              <w:t>в</w:t>
            </w:r>
            <w:proofErr w:type="gramEnd"/>
            <w:r w:rsidRPr="007442E0">
              <w:rPr>
                <w:rFonts w:ascii="Times New Roman" w:hAnsi="Times New Roman"/>
                <w:sz w:val="20"/>
                <w:szCs w:val="20"/>
              </w:rPr>
              <w:t xml:space="preserve"> %). Указывается только объем работ по данному типу сделки.</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млн. руб.</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 млн. руб. и более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7442E0">
            <w:pPr>
              <w:jc w:val="center"/>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том числе: собственными силами</w:t>
            </w: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50%  и более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75"/>
        </w:trPr>
        <w:tc>
          <w:tcPr>
            <w:tcW w:w="10632"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2. Опыт работы в данной области</w:t>
            </w:r>
          </w:p>
        </w:tc>
      </w:tr>
      <w:tr w:rsidR="007442E0" w:rsidRPr="007442E0" w:rsidTr="007442E0">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2.1.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по данному типу сделки</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Год</w:t>
            </w:r>
          </w:p>
        </w:tc>
        <w:tc>
          <w:tcPr>
            <w:tcW w:w="178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w:t>
            </w: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3 и более лет</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2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95"/>
        </w:trPr>
        <w:tc>
          <w:tcPr>
            <w:tcW w:w="10632" w:type="dxa"/>
            <w:gridSpan w:val="5"/>
            <w:hideMark/>
          </w:tcPr>
          <w:p w:rsidR="007442E0" w:rsidRPr="007442E0" w:rsidRDefault="007442E0" w:rsidP="007442E0">
            <w:pPr>
              <w:ind w:left="360"/>
              <w:jc w:val="center"/>
              <w:rPr>
                <w:rFonts w:ascii="Times New Roman" w:hAnsi="Times New Roman"/>
                <w:bCs/>
                <w:i/>
                <w:sz w:val="20"/>
                <w:szCs w:val="20"/>
              </w:rPr>
            </w:pPr>
            <w:r w:rsidRPr="007442E0">
              <w:rPr>
                <w:rFonts w:ascii="Times New Roman" w:hAnsi="Times New Roman"/>
                <w:bCs/>
                <w:i/>
                <w:sz w:val="20"/>
                <w:szCs w:val="20"/>
              </w:rPr>
              <w:t>3.Оснащенность, обеспеченность и готовность</w:t>
            </w:r>
          </w:p>
        </w:tc>
      </w:tr>
      <w:tr w:rsidR="007442E0" w:rsidRPr="007442E0" w:rsidTr="007442E0">
        <w:trPr>
          <w:trHeight w:val="48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3.1.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Оснащенность персонала необходимым инструментом, переносными измерительными средствами, оснащенность рабочих мест в соответствии с </w:t>
            </w:r>
            <w:r w:rsidRPr="007442E0">
              <w:rPr>
                <w:rFonts w:ascii="Times New Roman" w:hAnsi="Times New Roman"/>
                <w:sz w:val="20"/>
                <w:szCs w:val="20"/>
              </w:rPr>
              <w:lastRenderedPageBreak/>
              <w:t>требованиями технического задания.</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178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100</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54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540"/>
        </w:trPr>
        <w:tc>
          <w:tcPr>
            <w:tcW w:w="729"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lastRenderedPageBreak/>
              <w:t>3.2.</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Время устранения сбоев/выполнения заявок    </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2160"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сутки</w:t>
            </w:r>
          </w:p>
        </w:tc>
        <w:tc>
          <w:tcPr>
            <w:tcW w:w="1787"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менее 3 суток</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14"/>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Персонал</w:t>
            </w:r>
          </w:p>
        </w:tc>
      </w:tr>
      <w:tr w:rsidR="007442E0" w:rsidRPr="007442E0" w:rsidTr="007442E0">
        <w:trPr>
          <w:trHeight w:val="49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4.1.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Наличие сертифицированных специалистов (ИТР)  (предоставление справки из отдела кадров) для поддержки </w:t>
            </w:r>
            <w:proofErr w:type="gramStart"/>
            <w:r w:rsidRPr="007442E0">
              <w:rPr>
                <w:rFonts w:ascii="Times New Roman" w:hAnsi="Times New Roman"/>
                <w:sz w:val="20"/>
                <w:szCs w:val="20"/>
              </w:rPr>
              <w:t>ПО</w:t>
            </w:r>
            <w:proofErr w:type="gramEnd"/>
            <w:r w:rsidRPr="007442E0">
              <w:rPr>
                <w:rFonts w:ascii="Times New Roman" w:hAnsi="Times New Roman"/>
                <w:sz w:val="20"/>
                <w:szCs w:val="20"/>
              </w:rPr>
              <w:t xml:space="preserve"> согласно </w:t>
            </w:r>
            <w:proofErr w:type="gramStart"/>
            <w:r w:rsidRPr="007442E0">
              <w:rPr>
                <w:rFonts w:ascii="Times New Roman" w:hAnsi="Times New Roman"/>
                <w:sz w:val="20"/>
                <w:szCs w:val="20"/>
              </w:rPr>
              <w:t>типа</w:t>
            </w:r>
            <w:proofErr w:type="gramEnd"/>
            <w:r w:rsidRPr="007442E0">
              <w:rPr>
                <w:rFonts w:ascii="Times New Roman" w:hAnsi="Times New Roman"/>
                <w:sz w:val="20"/>
                <w:szCs w:val="20"/>
              </w:rPr>
              <w:t xml:space="preserve"> сделки  </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и начальника кадровой </w:t>
            </w:r>
            <w:proofErr w:type="gramStart"/>
            <w:r w:rsidRPr="007442E0">
              <w:rPr>
                <w:rFonts w:ascii="Times New Roman" w:hAnsi="Times New Roman"/>
                <w:sz w:val="20"/>
                <w:szCs w:val="20"/>
              </w:rPr>
              <w:t>службы-перечень</w:t>
            </w:r>
            <w:proofErr w:type="gramEnd"/>
            <w:r w:rsidRPr="007442E0">
              <w:rPr>
                <w:rFonts w:ascii="Times New Roman" w:hAnsi="Times New Roman"/>
                <w:sz w:val="20"/>
                <w:szCs w:val="20"/>
              </w:rPr>
              <w:t xml:space="preserve"> специалистов, их </w:t>
            </w:r>
            <w:proofErr w:type="spellStart"/>
            <w:r w:rsidRPr="007442E0">
              <w:rPr>
                <w:rFonts w:ascii="Times New Roman" w:hAnsi="Times New Roman"/>
                <w:sz w:val="20"/>
                <w:szCs w:val="20"/>
              </w:rPr>
              <w:t>обученность</w:t>
            </w:r>
            <w:proofErr w:type="spellEnd"/>
            <w:r w:rsidRPr="007442E0">
              <w:rPr>
                <w:rFonts w:ascii="Times New Roman" w:hAnsi="Times New Roman"/>
                <w:sz w:val="20"/>
                <w:szCs w:val="20"/>
              </w:rPr>
              <w:t xml:space="preserve">. Засчитываются только сведения, касающиеся данного типа сделки   </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Наличие/Отсутствие</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60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535"/>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Гарантии и обязательства Контрагента</w:t>
            </w:r>
          </w:p>
        </w:tc>
      </w:tr>
      <w:tr w:rsidR="007442E0" w:rsidRPr="007442E0" w:rsidTr="007442E0">
        <w:trPr>
          <w:trHeight w:val="52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92"/>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60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5.2</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Согласие на проведение аудита Заказчиком и предоставления Подрядчиком мероприятий по устранению замечаний по результатам аудита</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2160"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7442E0">
        <w:trPr>
          <w:trHeight w:val="45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160" w:type="dxa"/>
            <w:vMerge/>
            <w:hideMark/>
          </w:tcPr>
          <w:p w:rsidR="007442E0" w:rsidRPr="007442E0" w:rsidRDefault="007442E0" w:rsidP="001D13CA">
            <w:pPr>
              <w:jc w:val="both"/>
              <w:rPr>
                <w:rFonts w:ascii="Times New Roman" w:hAnsi="Times New Roman"/>
                <w:sz w:val="20"/>
                <w:szCs w:val="20"/>
              </w:rPr>
            </w:pPr>
          </w:p>
        </w:tc>
        <w:tc>
          <w:tcPr>
            <w:tcW w:w="1787" w:type="dxa"/>
            <w:vMerge/>
            <w:hideMark/>
          </w:tcPr>
          <w:p w:rsidR="007442E0" w:rsidRPr="007442E0" w:rsidRDefault="007442E0" w:rsidP="001D13CA">
            <w:pPr>
              <w:jc w:val="both"/>
              <w:rPr>
                <w:rFonts w:ascii="Times New Roman" w:hAnsi="Times New Roman"/>
                <w:sz w:val="20"/>
                <w:szCs w:val="20"/>
              </w:rPr>
            </w:pPr>
          </w:p>
        </w:tc>
      </w:tr>
      <w:tr w:rsidR="007442E0" w:rsidRPr="007442E0" w:rsidTr="007442E0">
        <w:trPr>
          <w:trHeight w:val="409"/>
        </w:trPr>
        <w:tc>
          <w:tcPr>
            <w:tcW w:w="10632"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Прочие Критерии</w:t>
            </w:r>
          </w:p>
        </w:tc>
      </w:tr>
      <w:tr w:rsidR="007442E0" w:rsidRPr="007442E0" w:rsidTr="007442E0">
        <w:trPr>
          <w:trHeight w:val="690"/>
        </w:trPr>
        <w:tc>
          <w:tcPr>
            <w:tcW w:w="729"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6.1.</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Согласие с условиями типового договора ОАО "СН-МНГ"</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предприятия</w:t>
            </w:r>
          </w:p>
        </w:tc>
        <w:tc>
          <w:tcPr>
            <w:tcW w:w="2160" w:type="dxa"/>
            <w:hideMark/>
          </w:tcPr>
          <w:p w:rsidR="007442E0" w:rsidRPr="007442E0" w:rsidRDefault="007442E0" w:rsidP="007442E0">
            <w:pPr>
              <w:jc w:val="both"/>
              <w:rPr>
                <w:rFonts w:ascii="Times New Roman" w:hAnsi="Times New Roman"/>
                <w:sz w:val="20"/>
                <w:szCs w:val="20"/>
              </w:rPr>
            </w:pPr>
            <w:r w:rsidRPr="007442E0">
              <w:rPr>
                <w:rFonts w:ascii="Times New Roman" w:hAnsi="Times New Roman"/>
                <w:sz w:val="20"/>
                <w:szCs w:val="20"/>
              </w:rPr>
              <w:t xml:space="preserve">         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1787"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A4186D" w:rsidRDefault="00A4186D" w:rsidP="000127F9">
      <w:pPr>
        <w:spacing w:before="0"/>
        <w:jc w:val="right"/>
        <w:rPr>
          <w:rFonts w:ascii="Times New Roman" w:hAnsi="Times New Roman"/>
          <w:b/>
          <w:sz w:val="24"/>
        </w:rPr>
      </w:pPr>
    </w:p>
    <w:p w:rsidR="00A4186D" w:rsidRDefault="00A4186D" w:rsidP="000127F9">
      <w:pPr>
        <w:spacing w:before="0"/>
        <w:jc w:val="right"/>
        <w:rPr>
          <w:rFonts w:ascii="Times New Roman" w:hAnsi="Times New Roman"/>
          <w:b/>
          <w:sz w:val="24"/>
        </w:rPr>
      </w:pPr>
    </w:p>
    <w:p w:rsidR="00A4186D" w:rsidRDefault="00A4186D" w:rsidP="000127F9">
      <w:pPr>
        <w:spacing w:before="0"/>
        <w:jc w:val="right"/>
        <w:rPr>
          <w:rFonts w:ascii="Times New Roman" w:hAnsi="Times New Roman"/>
          <w:b/>
          <w:sz w:val="24"/>
        </w:rPr>
      </w:pPr>
    </w:p>
    <w:p w:rsidR="00A4186D" w:rsidRDefault="00A4186D" w:rsidP="000127F9">
      <w:pPr>
        <w:spacing w:before="0"/>
        <w:jc w:val="right"/>
        <w:rPr>
          <w:rFonts w:ascii="Times New Roman" w:hAnsi="Times New Roman"/>
          <w:b/>
          <w:sz w:val="24"/>
        </w:rPr>
      </w:pPr>
    </w:p>
    <w:p w:rsidR="00A4186D" w:rsidRDefault="00A4186D"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DA4DDA">
        <w:rPr>
          <w:rFonts w:ascii="Times New Roman" w:hAnsi="Times New Roman"/>
          <w:b/>
          <w:color w:val="auto"/>
          <w:sz w:val="24"/>
        </w:rPr>
        <w:t>796</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E34C0A" w:rsidRPr="00D74D17">
        <w:rPr>
          <w:rFonts w:ascii="Times New Roman" w:hAnsi="Times New Roman"/>
          <w:b/>
          <w:color w:val="auto"/>
          <w:sz w:val="24"/>
        </w:rPr>
        <w:t>_</w:t>
      </w:r>
      <w:r w:rsidR="00A4186D">
        <w:rPr>
          <w:rFonts w:ascii="Times New Roman" w:hAnsi="Times New Roman"/>
          <w:b/>
          <w:color w:val="auto"/>
          <w:sz w:val="24"/>
        </w:rPr>
        <w:t>24.11.</w:t>
      </w:r>
      <w:r w:rsidR="00E34C0A" w:rsidRPr="00D74D17">
        <w:rPr>
          <w:rFonts w:ascii="Times New Roman" w:hAnsi="Times New Roman"/>
          <w:b/>
          <w:color w:val="auto"/>
          <w:sz w:val="24"/>
        </w:rPr>
        <w:t>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на оказание консалтинговых услуг</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 условиях указанного ПДО не позднее 20 дней с</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момента</w:t>
      </w:r>
      <w:proofErr w:type="gramEnd"/>
      <w:r w:rsidRPr="00D74D17">
        <w:rPr>
          <w:rFonts w:ascii="Times New Roman" w:hAnsi="Times New Roman"/>
          <w:color w:val="auto"/>
          <w:sz w:val="24"/>
        </w:rPr>
        <w:t xml:space="preserve">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на оказание консалтинговых услуг</w:t>
      </w:r>
      <w:r w:rsidR="00DA4DDA">
        <w:rPr>
          <w:rFonts w:ascii="Times New Roman" w:hAnsi="Times New Roman"/>
          <w:sz w:val="23"/>
          <w:szCs w:val="23"/>
        </w:rPr>
        <w:t xml:space="preserve"> </w:t>
      </w:r>
      <w:r w:rsidR="00DA4DDA" w:rsidRPr="00DA4DDA">
        <w:rPr>
          <w:rFonts w:ascii="Times New Roman" w:hAnsi="Times New Roman"/>
          <w:sz w:val="23"/>
          <w:szCs w:val="23"/>
        </w:rPr>
        <w:t>по настройке и изменению системы SAP</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DA4DDA" w:rsidP="00DA3572">
            <w:pPr>
              <w:pStyle w:val="af"/>
              <w:jc w:val="center"/>
              <w:rPr>
                <w:rFonts w:ascii="Times New Roman" w:hAnsi="Times New Roman"/>
                <w:sz w:val="23"/>
                <w:szCs w:val="23"/>
              </w:rPr>
            </w:pPr>
            <w:r>
              <w:rPr>
                <w:rFonts w:ascii="Times New Roman" w:hAnsi="Times New Roman"/>
                <w:sz w:val="23"/>
                <w:szCs w:val="23"/>
              </w:rPr>
              <w:t xml:space="preserve">Консалтинговые услуги по настройке и изменению системы </w:t>
            </w:r>
            <w:r>
              <w:rPr>
                <w:rFonts w:ascii="Times New Roman" w:hAnsi="Times New Roman"/>
                <w:sz w:val="23"/>
                <w:szCs w:val="23"/>
                <w:lang w:val="en-US"/>
              </w:rPr>
              <w:t>SAP</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DA4DDA" w:rsidRPr="00DA4DDA">
              <w:rPr>
                <w:rFonts w:ascii="Times New Roman" w:hAnsi="Times New Roman"/>
                <w:sz w:val="23"/>
                <w:szCs w:val="23"/>
              </w:rPr>
              <w:t>2</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DA4DDA">
            <w:pPr>
              <w:pStyle w:val="af"/>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EA132E">
              <w:rPr>
                <w:rFonts w:ascii="Times New Roman" w:hAnsi="Times New Roman"/>
                <w:sz w:val="23"/>
                <w:szCs w:val="23"/>
              </w:rPr>
              <w:t>с даты получения</w:t>
            </w:r>
            <w:proofErr w:type="gramEnd"/>
            <w:r w:rsidRPr="00EA132E">
              <w:rPr>
                <w:rFonts w:ascii="Times New Roman" w:hAnsi="Times New Roman"/>
                <w:sz w:val="23"/>
                <w:szCs w:val="23"/>
              </w:rPr>
              <w:t xml:space="preserve"> от Исполнителя оригиналов следующих документов: а) акта приемки оказанных услуг; б) счета-фактуры.</w:t>
            </w:r>
            <w:r w:rsidR="00DA4DDA">
              <w:t xml:space="preserve">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D45237">
        <w:rPr>
          <w:rFonts w:ascii="Times New Roman" w:hAnsi="Times New Roman"/>
          <w:bCs/>
          <w:sz w:val="24"/>
          <w:u w:val="single"/>
        </w:rPr>
        <w:t>796</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F2D" w:rsidRDefault="00C73F2D">
      <w:pPr>
        <w:spacing w:before="0"/>
      </w:pPr>
      <w:r>
        <w:separator/>
      </w:r>
    </w:p>
  </w:endnote>
  <w:endnote w:type="continuationSeparator" w:id="0">
    <w:p w:rsidR="00C73F2D" w:rsidRDefault="00C73F2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641F6F">
          <w:rPr>
            <w:noProof/>
          </w:rPr>
          <w:t>3</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F2D" w:rsidRDefault="00C73F2D">
      <w:pPr>
        <w:spacing w:before="0"/>
      </w:pPr>
      <w:r>
        <w:separator/>
      </w:r>
    </w:p>
  </w:footnote>
  <w:footnote w:type="continuationSeparator" w:id="0">
    <w:p w:rsidR="00C73F2D" w:rsidRDefault="00C73F2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ПДО 796/ТК/2015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08B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1F6F"/>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186D"/>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3F2D"/>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ilinaSP@mng.slavneft.ru" TargetMode="External"/><Relationship Id="rId4" Type="http://schemas.microsoft.com/office/2007/relationships/stylesWithEffects" Target="stylesWithEffects.xml"/><Relationship Id="rId9" Type="http://schemas.openxmlformats.org/officeDocument/2006/relationships/hyperlink" Target="mailto:GlebovES@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D7EE8-24DB-49B2-8485-FA816BE9F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3725</Words>
  <Characters>21237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5</cp:revision>
  <cp:lastPrinted>2015-09-29T09:08:00Z</cp:lastPrinted>
  <dcterms:created xsi:type="dcterms:W3CDTF">2015-10-30T08:31:00Z</dcterms:created>
  <dcterms:modified xsi:type="dcterms:W3CDTF">2015-11-24T05:53:00Z</dcterms:modified>
</cp:coreProperties>
</file>