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508" w:rsidRPr="00D85D6E" w:rsidRDefault="00396FEE" w:rsidP="002D4508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</w:t>
      </w:r>
      <w:r w:rsidR="002D4508" w:rsidRPr="00D85D6E">
        <w:rPr>
          <w:rFonts w:ascii="Times New Roman" w:hAnsi="Times New Roman"/>
          <w:sz w:val="24"/>
          <w:highlight w:val="lightGray"/>
        </w:rPr>
        <w:t>10</w:t>
      </w:r>
    </w:p>
    <w:p w:rsidR="002D4508" w:rsidRPr="00D85D6E" w:rsidRDefault="002D4508" w:rsidP="002D4508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2D4508" w:rsidRPr="00A23A5D" w:rsidRDefault="002D4508" w:rsidP="002D4508">
      <w:pPr>
        <w:widowControl w:val="0"/>
        <w:spacing w:before="180"/>
        <w:ind w:left="720" w:firstLine="3958"/>
        <w:jc w:val="right"/>
        <w:rPr>
          <w:rFonts w:ascii="Times New Roman" w:hAnsi="Times New Roman"/>
          <w:b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г.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Акт приема </w:t>
      </w:r>
      <w:r w:rsidRPr="00D76530">
        <w:rPr>
          <w:rFonts w:ascii="Times New Roman" w:hAnsi="Times New Roman"/>
          <w:sz w:val="24"/>
          <w:highlight w:val="lightGray"/>
        </w:rPr>
        <w:t xml:space="preserve">– </w:t>
      </w:r>
      <w:r w:rsidRPr="00D76530">
        <w:rPr>
          <w:rFonts w:ascii="Times New Roman" w:hAnsi="Times New Roman"/>
          <w:b/>
          <w:sz w:val="24"/>
          <w:highlight w:val="lightGray"/>
        </w:rPr>
        <w:t>передачи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Локальных нормативных актов Заказчика 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D76530" w:rsidRPr="00D76530" w:rsidTr="005D7908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>Наименование</w:t>
            </w:r>
            <w:proofErr w:type="spellEnd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  <w:proofErr w:type="spellEnd"/>
          </w:p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кол-во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 xml:space="preserve"> 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листов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)</w:t>
            </w:r>
          </w:p>
        </w:tc>
      </w:tr>
      <w:tr w:rsidR="00D76530" w:rsidRPr="00D76530" w:rsidTr="005D7908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D76530">
              <w:rPr>
                <w:rFonts w:ascii="Times New Roman" w:hAnsi="Times New Roman"/>
                <w:sz w:val="24"/>
                <w:highlight w:val="lightGray"/>
              </w:rPr>
              <w:t>Славнефть</w:t>
            </w:r>
            <w:proofErr w:type="spellEnd"/>
            <w:r w:rsidRPr="00D76530">
              <w:rPr>
                <w:rFonts w:ascii="Times New Roman" w:hAnsi="Times New Roman"/>
                <w:sz w:val="24"/>
                <w:highlight w:val="lightGray"/>
              </w:rPr>
              <w:t>-Мегионнефтегаз</w:t>
            </w:r>
            <w:proofErr w:type="gramStart"/>
            <w:r w:rsidRPr="0029137C">
              <w:rPr>
                <w:rFonts w:ascii="Times New Roman" w:hAnsi="Times New Roman"/>
                <w:sz w:val="24"/>
                <w:highlight w:val="lightGray"/>
              </w:rPr>
              <w:t>»</w:t>
            </w:r>
            <w:r w:rsidR="0029137C" w:rsidRPr="0029137C">
              <w:rPr>
                <w:rFonts w:ascii="Times New Roman" w:hAnsi="Times New Roman"/>
                <w:highlight w:val="lightGray"/>
              </w:rPr>
              <w:t>(</w:t>
            </w:r>
            <w:proofErr w:type="gramEnd"/>
            <w:r w:rsidR="0029137C" w:rsidRPr="0029137C">
              <w:rPr>
                <w:rStyle w:val="itemtext"/>
                <w:rFonts w:ascii="Times New Roman" w:hAnsi="Times New Roman"/>
                <w:highlight w:val="lightGray"/>
              </w:rPr>
              <w:t>с внесенными изменениями согласно Приказа №487 от 17.06.2015г)</w:t>
            </w:r>
            <w:r w:rsidR="0029137C" w:rsidRPr="0029137C">
              <w:rPr>
                <w:rFonts w:ascii="Times New Roman" w:hAnsi="Times New Roman"/>
                <w:highlight w:val="lightGray"/>
              </w:rPr>
              <w:t>;</w:t>
            </w:r>
            <w:r w:rsidRPr="0029137C">
              <w:rPr>
                <w:rFonts w:ascii="Times New Roman" w:hAnsi="Times New Roman"/>
                <w:sz w:val="24"/>
                <w:highlight w:val="lightGray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</w:t>
            </w:r>
            <w:bookmarkStart w:id="0" w:name="_GoBack"/>
            <w:bookmarkEnd w:id="0"/>
            <w:r w:rsidRPr="00D76530">
              <w:rPr>
                <w:rFonts w:ascii="Times New Roman" w:hAnsi="Times New Roman"/>
                <w:sz w:val="24"/>
                <w:highlight w:val="lightGray"/>
              </w:rPr>
              <w:t>овой площадке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D76530">
              <w:rPr>
                <w:rFonts w:ascii="Times New Roman" w:eastAsia="Calibri" w:hAnsi="Times New Roman"/>
                <w:bCs/>
                <w:color w:val="000000"/>
                <w:sz w:val="24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18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3B16CD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4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 xml:space="preserve">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3B16CD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76530" w:rsidRDefault="003B16CD" w:rsidP="007D4AD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>И</w:t>
            </w:r>
            <w:r>
              <w:rPr>
                <w:rFonts w:ascii="Times New Roman" w:hAnsi="Times New Roman"/>
                <w:bCs/>
                <w:sz w:val="24"/>
                <w:highlight w:val="lightGray"/>
              </w:rPr>
              <w:t>зменение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 xml:space="preserve"> 1</w:t>
            </w:r>
            <w:r>
              <w:rPr>
                <w:rFonts w:ascii="Times New Roman" w:hAnsi="Times New Roman"/>
                <w:bCs/>
                <w:sz w:val="24"/>
                <w:highlight w:val="lightGray"/>
              </w:rPr>
              <w:t xml:space="preserve"> к </w:t>
            </w: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sz w:val="24"/>
                <w:highlight w:val="lightGray"/>
              </w:rPr>
              <w:t>Процедуре</w:t>
            </w:r>
            <w:r w:rsidRPr="00D76530">
              <w:rPr>
                <w:rFonts w:ascii="Times New Roman" w:hAnsi="Times New Roman"/>
                <w:sz w:val="24"/>
                <w:highlight w:val="lightGray"/>
              </w:rPr>
              <w:t xml:space="preserve"> «Контроль употребления алкоголя, наркотических и токсических веществ</w:t>
            </w:r>
            <w:r w:rsidRPr="00D76530">
              <w:rPr>
                <w:rFonts w:ascii="Times New Roman" w:hAnsi="Times New Roman"/>
                <w:bCs/>
                <w:sz w:val="24"/>
                <w:highlight w:val="lightGray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16CD" w:rsidRPr="00D76530" w:rsidRDefault="003B16CD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9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  <w:t>План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10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4"/>
                <w:highlight w:val="lightGray"/>
              </w:rPr>
            </w:pPr>
            <w:r w:rsidRPr="00D76530"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</w:tbl>
    <w:p w:rsidR="00D76530" w:rsidRPr="00D76530" w:rsidRDefault="00D76530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D76530">
        <w:rPr>
          <w:rFonts w:ascii="Times New Roman" w:hAnsi="Times New Roman"/>
          <w:b/>
          <w:color w:val="000000"/>
          <w:sz w:val="24"/>
          <w:highlight w:val="lightGray"/>
        </w:rPr>
        <w:t>*</w:t>
      </w:r>
      <w:r w:rsidRPr="00D76530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Подписи Сторон</w:t>
      </w: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sz w:val="24"/>
          <w:highlight w:val="lightGray"/>
        </w:rPr>
        <w:t xml:space="preserve">Заказчик:                                                               Подрядчик:          </w:t>
      </w: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D4508" w:rsidRPr="00A23A5D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D85D6E" w:rsidRDefault="002D4508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A23A5D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B62185" w:rsidRDefault="00B62185"/>
    <w:sectPr w:rsidR="00B6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125A22"/>
    <w:rsid w:val="001F2464"/>
    <w:rsid w:val="0029137C"/>
    <w:rsid w:val="002D4508"/>
    <w:rsid w:val="003403F0"/>
    <w:rsid w:val="00396FEE"/>
    <w:rsid w:val="003B16CD"/>
    <w:rsid w:val="007D4AD2"/>
    <w:rsid w:val="009471A4"/>
    <w:rsid w:val="00B62185"/>
    <w:rsid w:val="00B721B6"/>
    <w:rsid w:val="00D7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itemtext">
    <w:name w:val="itemtext"/>
    <w:basedOn w:val="a1"/>
    <w:rsid w:val="002913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itemtext">
    <w:name w:val="itemtext"/>
    <w:basedOn w:val="a1"/>
    <w:rsid w:val="00291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Венера Абдыкаировна Дменова</cp:lastModifiedBy>
  <cp:revision>3</cp:revision>
  <dcterms:created xsi:type="dcterms:W3CDTF">2015-07-25T06:29:00Z</dcterms:created>
  <dcterms:modified xsi:type="dcterms:W3CDTF">2015-07-30T09:56:00Z</dcterms:modified>
</cp:coreProperties>
</file>