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52A0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52A0C" w:rsidRPr="00552A0C">
              <w:rPr>
                <w:rFonts w:ascii="Times New Roman" w:hAnsi="Times New Roman"/>
                <w:sz w:val="24"/>
                <w:u w:val="single"/>
              </w:rPr>
              <w:t>151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552A0C">
              <w:rPr>
                <w:rFonts w:ascii="Times New Roman" w:hAnsi="Times New Roman"/>
                <w:sz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552A0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552A0C">
              <w:rPr>
                <w:rFonts w:ascii="Times New Roman" w:hAnsi="Times New Roman"/>
                <w:sz w:val="24"/>
              </w:rPr>
              <w:t xml:space="preserve">апреля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22055C">
        <w:rPr>
          <w:rFonts w:ascii="Times New Roman" w:hAnsi="Times New Roman"/>
          <w:b/>
          <w:sz w:val="24"/>
        </w:rPr>
        <w:t>170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52A0C">
        <w:rPr>
          <w:rFonts w:ascii="Times New Roman" w:hAnsi="Times New Roman"/>
          <w:b/>
          <w:sz w:val="24"/>
        </w:rPr>
        <w:t>28</w:t>
      </w:r>
      <w:r w:rsidR="00B07852">
        <w:rPr>
          <w:rFonts w:ascii="Times New Roman" w:hAnsi="Times New Roman"/>
          <w:b/>
          <w:sz w:val="24"/>
        </w:rPr>
        <w:t>»</w:t>
      </w:r>
      <w:r w:rsidR="00552A0C">
        <w:rPr>
          <w:rFonts w:ascii="Times New Roman" w:hAnsi="Times New Roman"/>
          <w:b/>
          <w:sz w:val="24"/>
        </w:rPr>
        <w:t xml:space="preserve"> апреля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транспортных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.0</w:t>
      </w:r>
      <w:r w:rsidR="00D71D86">
        <w:rPr>
          <w:rFonts w:ascii="Times New Roman" w:hAnsi="Times New Roman"/>
          <w:b/>
          <w:sz w:val="24"/>
        </w:rPr>
        <w:t>7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</w:t>
      </w:r>
      <w:r w:rsidR="0022055C">
        <w:rPr>
          <w:rFonts w:ascii="Times New Roman" w:hAnsi="Times New Roman"/>
          <w:sz w:val="24"/>
        </w:rPr>
        <w:t xml:space="preserve"> (преамбула, сумма, реквизиты)</w:t>
      </w:r>
      <w:r w:rsidRPr="00A1066B">
        <w:rPr>
          <w:rFonts w:ascii="Times New Roman" w:hAnsi="Times New Roman"/>
          <w:sz w:val="24"/>
        </w:rPr>
        <w:t xml:space="preserve"> и подписанный им договор поставки с приложениями (</w:t>
      </w:r>
      <w:r w:rsidR="0022055C">
        <w:rPr>
          <w:rFonts w:ascii="Times New Roman" w:hAnsi="Times New Roman"/>
          <w:sz w:val="24"/>
        </w:rPr>
        <w:t>приложения должны быть заполнены</w:t>
      </w:r>
      <w:r w:rsidRPr="00A1066B">
        <w:rPr>
          <w:rFonts w:ascii="Times New Roman" w:hAnsi="Times New Roman"/>
          <w:sz w:val="24"/>
        </w:rPr>
        <w:t>) по форме 6</w:t>
      </w:r>
      <w:proofErr w:type="gramStart"/>
      <w:r w:rsidR="0022055C">
        <w:rPr>
          <w:rFonts w:ascii="Times New Roman" w:hAnsi="Times New Roman"/>
          <w:sz w:val="24"/>
        </w:rPr>
        <w:t xml:space="preserve"> </w:t>
      </w:r>
      <w:r w:rsidR="00C13F3F" w:rsidRPr="00A1066B">
        <w:rPr>
          <w:rFonts w:ascii="Times New Roman" w:hAnsi="Times New Roman"/>
          <w:sz w:val="24"/>
        </w:rPr>
        <w:t>;</w:t>
      </w:r>
      <w:proofErr w:type="gramEnd"/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8-</w:t>
      </w:r>
      <w:r w:rsidR="006F78FA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>кой по статьям затрат по Форме 10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B00112">
        <w:rPr>
          <w:rFonts w:ascii="Times New Roman" w:hAnsi="Times New Roman"/>
          <w:bCs/>
          <w:sz w:val="24"/>
        </w:rPr>
        <w:t>1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552A0C">
        <w:rPr>
          <w:rFonts w:ascii="Times New Roman" w:hAnsi="Times New Roman"/>
          <w:b/>
          <w:sz w:val="24"/>
        </w:rPr>
        <w:t>28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52A0C">
        <w:rPr>
          <w:rFonts w:ascii="Times New Roman" w:hAnsi="Times New Roman"/>
          <w:b/>
          <w:sz w:val="24"/>
        </w:rPr>
        <w:t>апреля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52A0C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52A0C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71D86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22055C">
        <w:rPr>
          <w:rFonts w:ascii="Times New Roman" w:hAnsi="Times New Roman"/>
          <w:b/>
          <w:sz w:val="24"/>
        </w:rPr>
        <w:t>170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D71D86" w:rsidRPr="00D71D86">
        <w:rPr>
          <w:rFonts w:ascii="Times New Roman" w:hAnsi="Times New Roman"/>
          <w:sz w:val="24"/>
        </w:rPr>
        <w:t>904 «Операции по промывке скважин», 905 «</w:t>
      </w:r>
      <w:proofErr w:type="spellStart"/>
      <w:r w:rsidR="00D71D86" w:rsidRPr="00D71D86">
        <w:rPr>
          <w:rFonts w:ascii="Times New Roman" w:hAnsi="Times New Roman"/>
          <w:sz w:val="24"/>
        </w:rPr>
        <w:t>Депарафинизация</w:t>
      </w:r>
      <w:proofErr w:type="spellEnd"/>
      <w:r w:rsidR="00D71D86" w:rsidRPr="00D71D86">
        <w:rPr>
          <w:rFonts w:ascii="Times New Roman" w:hAnsi="Times New Roman"/>
          <w:sz w:val="24"/>
        </w:rPr>
        <w:t>», 906 «Грузоподъемная техника (с/без ПРР)», 908 «</w:t>
      </w:r>
      <w:proofErr w:type="spellStart"/>
      <w:r w:rsidR="00D71D86" w:rsidRPr="00D71D86">
        <w:rPr>
          <w:rFonts w:ascii="Times New Roman" w:hAnsi="Times New Roman"/>
          <w:sz w:val="24"/>
        </w:rPr>
        <w:t>Грузоперевозящая</w:t>
      </w:r>
      <w:proofErr w:type="spellEnd"/>
      <w:r w:rsidR="00D71D86" w:rsidRPr="00D71D86">
        <w:rPr>
          <w:rFonts w:ascii="Times New Roman" w:hAnsi="Times New Roman"/>
          <w:sz w:val="24"/>
        </w:rPr>
        <w:t xml:space="preserve"> техника», 909 «Тракторная, землеройная техника», 911 «ППУ (</w:t>
      </w:r>
      <w:proofErr w:type="spellStart"/>
      <w:r w:rsidR="00D71D86" w:rsidRPr="00D71D86">
        <w:rPr>
          <w:rFonts w:ascii="Times New Roman" w:hAnsi="Times New Roman"/>
          <w:sz w:val="24"/>
        </w:rPr>
        <w:t>ПаропередвижныеУстановки</w:t>
      </w:r>
      <w:proofErr w:type="spellEnd"/>
      <w:r w:rsidR="00D71D86" w:rsidRPr="00D71D86">
        <w:rPr>
          <w:rFonts w:ascii="Times New Roman" w:hAnsi="Times New Roman"/>
          <w:sz w:val="24"/>
        </w:rPr>
        <w:t>)», 912 «Специализированная и техника общего пользования»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соответствии</w:t>
      </w:r>
      <w:proofErr w:type="gramEnd"/>
      <w:r>
        <w:rPr>
          <w:rFonts w:ascii="Times New Roman" w:hAnsi="Times New Roman"/>
          <w:sz w:val="24"/>
        </w:rPr>
        <w:t xml:space="preserve"> с Формой </w:t>
      </w:r>
      <w:r w:rsidR="006F78FA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1)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</w:t>
      </w:r>
      <w:r w:rsidR="006F78FA">
        <w:rPr>
          <w:rFonts w:ascii="Times New Roman" w:hAnsi="Times New Roman"/>
          <w:sz w:val="24"/>
        </w:rPr>
        <w:t>9</w:t>
      </w:r>
      <w:r w:rsidRPr="00C362D8">
        <w:rPr>
          <w:rFonts w:ascii="Times New Roman" w:hAnsi="Times New Roman"/>
          <w:sz w:val="24"/>
        </w:rPr>
        <w:t>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6F78FA">
        <w:rPr>
          <w:rFonts w:ascii="Times New Roman" w:hAnsi="Times New Roman"/>
          <w:sz w:val="24"/>
        </w:rPr>
        <w:t>10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552A0C">
        <w:rPr>
          <w:rFonts w:ascii="Times New Roman" w:hAnsi="Times New Roman"/>
          <w:sz w:val="24"/>
        </w:rPr>
        <w:t>08</w:t>
      </w:r>
      <w:r w:rsidRPr="0056778A">
        <w:rPr>
          <w:rFonts w:ascii="Times New Roman" w:hAnsi="Times New Roman"/>
          <w:sz w:val="24"/>
        </w:rPr>
        <w:t xml:space="preserve">» </w:t>
      </w:r>
      <w:r w:rsidR="00552A0C">
        <w:rPr>
          <w:rFonts w:ascii="Times New Roman" w:hAnsi="Times New Roman"/>
          <w:sz w:val="24"/>
        </w:rPr>
        <w:t xml:space="preserve">мая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22055C" w:rsidRPr="0022055C">
        <w:rPr>
          <w:rFonts w:ascii="Times New Roman" w:hAnsi="Times New Roman"/>
          <w:b/>
          <w:sz w:val="24"/>
        </w:rPr>
        <w:t>170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52A0C">
        <w:rPr>
          <w:rFonts w:ascii="Times New Roman" w:hAnsi="Times New Roman"/>
          <w:b/>
          <w:sz w:val="24"/>
        </w:rPr>
        <w:t>28</w:t>
      </w:r>
      <w:r w:rsidR="00B07852">
        <w:rPr>
          <w:rFonts w:ascii="Times New Roman" w:hAnsi="Times New Roman"/>
          <w:b/>
          <w:sz w:val="24"/>
        </w:rPr>
        <w:t>»</w:t>
      </w:r>
      <w:r w:rsidR="00552A0C">
        <w:rPr>
          <w:rFonts w:ascii="Times New Roman" w:hAnsi="Times New Roman"/>
          <w:b/>
          <w:sz w:val="24"/>
        </w:rPr>
        <w:t xml:space="preserve"> апреля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D71D86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D71D86"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D71D86">
              <w:rPr>
                <w:rFonts w:ascii="Times New Roman" w:hAnsi="Times New Roman"/>
                <w:sz w:val="23"/>
                <w:szCs w:val="23"/>
              </w:rPr>
              <w:t>0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D71D86">
              <w:rPr>
                <w:rFonts w:ascii="Times New Roman" w:hAnsi="Times New Roman"/>
                <w:sz w:val="23"/>
                <w:szCs w:val="23"/>
              </w:rPr>
              <w:t>06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6C0D3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C0D37">
              <w:rPr>
                <w:rFonts w:ascii="Times New Roman" w:hAnsi="Times New Roman"/>
                <w:sz w:val="24"/>
              </w:rPr>
              <w:t>счет-фактур</w:t>
            </w:r>
            <w:proofErr w:type="gramEnd"/>
            <w:r w:rsidRPr="006C0D37">
              <w:rPr>
                <w:rFonts w:ascii="Times New Roman" w:hAnsi="Times New Roman"/>
                <w:sz w:val="24"/>
              </w:rPr>
              <w:t xml:space="preserve"> и Акта оказанных транспортных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D71D86">
        <w:rPr>
          <w:rFonts w:ascii="Times New Roman" w:hAnsi="Times New Roman"/>
          <w:sz w:val="24"/>
        </w:rPr>
        <w:t>июля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6A0B75" w:rsidRPr="00580A9C" w:rsidRDefault="006A0B75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5029"/>
        <w:gridCol w:w="1843"/>
        <w:gridCol w:w="1701"/>
        <w:gridCol w:w="1701"/>
      </w:tblGrid>
      <w:tr w:rsidR="006A0B75" w:rsidRPr="00732F70" w:rsidTr="006A0B75">
        <w:trPr>
          <w:cantSplit/>
          <w:trHeight w:val="375"/>
        </w:trPr>
        <w:tc>
          <w:tcPr>
            <w:tcW w:w="466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5029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1843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1701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6A0B75" w:rsidRPr="006A0B75" w:rsidTr="006A0B75">
        <w:trPr>
          <w:trHeight w:val="397"/>
        </w:trPr>
        <w:tc>
          <w:tcPr>
            <w:tcW w:w="466" w:type="dxa"/>
            <w:vAlign w:val="center"/>
          </w:tcPr>
          <w:p w:rsidR="006A0B75" w:rsidRPr="006A0B75" w:rsidRDefault="006A0B75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5029" w:type="dxa"/>
            <w:vAlign w:val="center"/>
          </w:tcPr>
          <w:p w:rsidR="006A0B75" w:rsidRPr="006A0B75" w:rsidRDefault="006A0B75" w:rsidP="00D71D86">
            <w:pPr>
              <w:rPr>
                <w:rFonts w:ascii="Times New Roman" w:hAnsi="Times New Roman"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r w:rsidR="00D71D86">
              <w:rPr>
                <w:rFonts w:ascii="Times New Roman" w:hAnsi="Times New Roman"/>
                <w:sz w:val="18"/>
                <w:szCs w:val="18"/>
              </w:rPr>
              <w:t>Оказание транспортных услуг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843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6A0B75" w:rsidRPr="006A0B75" w:rsidTr="006A0B75">
        <w:trPr>
          <w:trHeight w:val="397"/>
        </w:trPr>
        <w:tc>
          <w:tcPr>
            <w:tcW w:w="466" w:type="dxa"/>
            <w:vAlign w:val="center"/>
          </w:tcPr>
          <w:p w:rsidR="006A0B75" w:rsidRPr="006A0B75" w:rsidRDefault="006A0B75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5029" w:type="dxa"/>
            <w:vAlign w:val="center"/>
          </w:tcPr>
          <w:p w:rsidR="006A0B75" w:rsidRPr="006A0B75" w:rsidRDefault="006A0B75" w:rsidP="00D71D86">
            <w:pPr>
              <w:rPr>
                <w:rFonts w:ascii="Times New Roman" w:hAnsi="Times New Roman"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>Лот №2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r w:rsidR="00D71D86">
              <w:rPr>
                <w:rFonts w:ascii="Times New Roman" w:hAnsi="Times New Roman"/>
                <w:sz w:val="18"/>
                <w:szCs w:val="18"/>
              </w:rPr>
              <w:t>Оказание транспортных услуг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843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6A0B75" w:rsidRPr="00580A9C" w:rsidTr="006A0B75">
        <w:trPr>
          <w:trHeight w:val="236"/>
        </w:trPr>
        <w:tc>
          <w:tcPr>
            <w:tcW w:w="466" w:type="dxa"/>
            <w:vAlign w:val="center"/>
          </w:tcPr>
          <w:p w:rsidR="006A0B75" w:rsidRPr="00580A9C" w:rsidRDefault="006A0B75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5029" w:type="dxa"/>
            <w:vAlign w:val="center"/>
          </w:tcPr>
          <w:p w:rsidR="006A0B75" w:rsidRPr="00580A9C" w:rsidRDefault="006A0B75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6A0B75" w:rsidRPr="00732F70" w:rsidTr="006A0B75">
        <w:trPr>
          <w:trHeight w:val="236"/>
        </w:trPr>
        <w:tc>
          <w:tcPr>
            <w:tcW w:w="466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029" w:type="dxa"/>
            <w:vAlign w:val="center"/>
          </w:tcPr>
          <w:p w:rsidR="006A0B75" w:rsidRPr="00732F70" w:rsidRDefault="006A0B75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9"/>
        <w:gridCol w:w="70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6A0B75" w:rsidP="007D491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6A0B75" w:rsidRDefault="006C0D37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A0B75">
              <w:rPr>
                <w:rFonts w:ascii="Times New Roman" w:hAnsi="Times New Roman"/>
                <w:sz w:val="18"/>
                <w:szCs w:val="18"/>
              </w:rPr>
              <w:t>счет-фактур</w:t>
            </w:r>
            <w:proofErr w:type="gramEnd"/>
            <w:r w:rsidRPr="006A0B75">
              <w:rPr>
                <w:rFonts w:ascii="Times New Roman" w:hAnsi="Times New Roman"/>
                <w:sz w:val="18"/>
                <w:szCs w:val="18"/>
              </w:rPr>
              <w:t xml:space="preserve"> и Акта оказанных транспортных услуг.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D71D86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</w:t>
            </w:r>
            <w:r w:rsidR="00D71D86">
              <w:rPr>
                <w:rFonts w:ascii="Times New Roman" w:hAnsi="Times New Roman"/>
                <w:bCs/>
                <w:sz w:val="18"/>
                <w:szCs w:val="18"/>
                <w:lang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.2015 г. по 3</w:t>
            </w:r>
            <w:r w:rsidR="00D71D86">
              <w:rPr>
                <w:rFonts w:ascii="Times New Roman" w:hAnsi="Times New Roman"/>
                <w:bCs/>
                <w:sz w:val="18"/>
                <w:szCs w:val="18"/>
                <w:lang/>
              </w:rPr>
              <w:t>0.06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D71D86">
              <w:rPr>
                <w:rFonts w:ascii="Times New Roman" w:hAnsi="Times New Roman"/>
                <w:bCs/>
                <w:sz w:val="18"/>
                <w:szCs w:val="18"/>
                <w:lang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6A0B75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52A0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552A0C" w:rsidRPr="00552A0C">
              <w:rPr>
                <w:rFonts w:ascii="Times New Roman" w:hAnsi="Times New Roman"/>
                <w:sz w:val="24"/>
                <w:u w:val="single"/>
              </w:rPr>
              <w:t>151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552A0C"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552A0C">
              <w:rPr>
                <w:rFonts w:ascii="Times New Roman" w:hAnsi="Times New Roman"/>
                <w:sz w:val="24"/>
              </w:rPr>
              <w:t xml:space="preserve"> апреля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D71D86">
        <w:rPr>
          <w:rFonts w:ascii="Times New Roman" w:hAnsi="Times New Roman" w:cs="Times New Roman"/>
          <w:sz w:val="24"/>
          <w:szCs w:val="24"/>
        </w:rPr>
        <w:t>7</w:t>
      </w:r>
      <w:r w:rsidR="008308D7">
        <w:rPr>
          <w:rFonts w:ascii="Times New Roman" w:hAnsi="Times New Roman" w:cs="Times New Roman"/>
          <w:sz w:val="24"/>
          <w:szCs w:val="24"/>
        </w:rPr>
        <w:t>.2015 г. по 3</w:t>
      </w:r>
      <w:r w:rsidR="00D71D86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D71D86">
        <w:rPr>
          <w:rFonts w:ascii="Times New Roman" w:hAnsi="Times New Roman" w:cs="Times New Roman"/>
          <w:sz w:val="24"/>
          <w:szCs w:val="24"/>
        </w:rPr>
        <w:t>06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№1,2</w:t>
      </w:r>
      <w:r w:rsidRPr="00AA5AF8">
        <w:rPr>
          <w:rFonts w:ascii="Times New Roman" w:hAnsi="Times New Roman"/>
          <w:sz w:val="24"/>
        </w:rPr>
        <w:t xml:space="preserve"> (форма 8</w:t>
      </w:r>
      <w:r w:rsidR="00D401CE">
        <w:rPr>
          <w:rFonts w:ascii="Times New Roman" w:hAnsi="Times New Roman"/>
          <w:sz w:val="24"/>
        </w:rPr>
        <w:t>-</w:t>
      </w:r>
      <w:r w:rsidR="00452D53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bookmarkStart w:id="0" w:name="_GoBack"/>
      <w:bookmarkEnd w:id="0"/>
      <w:r w:rsidRPr="00D71D86">
        <w:rPr>
          <w:rFonts w:ascii="Times New Roman" w:hAnsi="Times New Roman"/>
          <w:sz w:val="24"/>
        </w:rPr>
        <w:t>Иметь необходимые лицензии;</w:t>
      </w:r>
    </w:p>
    <w:p w:rsidR="00D71D86" w:rsidRPr="00D71D86" w:rsidRDefault="00D71D86" w:rsidP="00D71D86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D71D86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D71D86" w:rsidRPr="00D71D86" w:rsidRDefault="00D71D86" w:rsidP="00D71D86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D71D86" w:rsidRPr="00D71D86" w:rsidRDefault="00D71D86" w:rsidP="00D71D86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452D53">
        <w:rPr>
          <w:rFonts w:ascii="Times New Roman" w:hAnsi="Times New Roman"/>
          <w:iCs/>
          <w:sz w:val="24"/>
        </w:rPr>
        <w:t>1</w:t>
      </w:r>
      <w:r w:rsidR="00D401CE">
        <w:rPr>
          <w:rFonts w:ascii="Times New Roman" w:hAnsi="Times New Roman"/>
          <w:iCs/>
          <w:sz w:val="24"/>
        </w:rPr>
        <w:t>1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A317BE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D71D86" w:rsidRPr="00D71D86" w:rsidRDefault="00D71D86" w:rsidP="00D71D86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lastRenderedPageBreak/>
        <w:t>– срок эксплуатации грузовых автомобилей, в том числе специализированных не должен превышать 11 (одиннадцать) лет;</w:t>
      </w:r>
    </w:p>
    <w:p w:rsidR="00D71D86" w:rsidRPr="00D71D86" w:rsidRDefault="00D71D86" w:rsidP="00D71D86">
      <w:pPr>
        <w:tabs>
          <w:tab w:val="left" w:pos="567"/>
        </w:tabs>
        <w:ind w:left="709"/>
        <w:jc w:val="both"/>
        <w:rPr>
          <w:rFonts w:ascii="Times New Roman" w:eastAsia="Calibri" w:hAnsi="Times New Roman"/>
          <w:sz w:val="24"/>
        </w:rPr>
      </w:pPr>
      <w:r w:rsidRPr="00D71D86">
        <w:rPr>
          <w:rFonts w:ascii="Times New Roman" w:hAnsi="Times New Roman"/>
          <w:sz w:val="24"/>
        </w:rPr>
        <w:t>– срок эксплуатации специальных автотранспортных средств, тракторов и иной  землеройной техники не должен превышать 12 (двенадцать) лет.</w:t>
      </w:r>
    </w:p>
    <w:p w:rsidR="00D71D86" w:rsidRPr="00D71D86" w:rsidRDefault="00D71D86" w:rsidP="00D71D8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D71D86" w:rsidRPr="00D71D86" w:rsidRDefault="00D71D86" w:rsidP="00D71D8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D71D86" w:rsidRPr="00D71D86" w:rsidRDefault="00D71D86" w:rsidP="00D71D8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D71D86">
        <w:rPr>
          <w:rFonts w:ascii="Times New Roman" w:hAnsi="Times New Roman"/>
          <w:sz w:val="24"/>
        </w:rPr>
        <w:t>;</w:t>
      </w:r>
    </w:p>
    <w:p w:rsidR="00D71D86" w:rsidRPr="00D71D86" w:rsidRDefault="00D71D86" w:rsidP="00D71D8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D71D86">
        <w:rPr>
          <w:rFonts w:ascii="Times New Roman" w:hAnsi="Times New Roman"/>
          <w:sz w:val="24"/>
        </w:rPr>
        <w:t>межсменного</w:t>
      </w:r>
      <w:proofErr w:type="spellEnd"/>
      <w:r w:rsidRPr="00D71D86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D71D86">
        <w:rPr>
          <w:rFonts w:ascii="Times New Roman" w:hAnsi="Times New Roman"/>
          <w:sz w:val="24"/>
        </w:rPr>
        <w:t>предрейсового</w:t>
      </w:r>
      <w:proofErr w:type="spellEnd"/>
      <w:r w:rsidRPr="00D71D86">
        <w:rPr>
          <w:rFonts w:ascii="Times New Roman" w:hAnsi="Times New Roman"/>
          <w:sz w:val="24"/>
        </w:rPr>
        <w:t xml:space="preserve">, </w:t>
      </w:r>
      <w:proofErr w:type="spellStart"/>
      <w:r w:rsidRPr="00D71D86">
        <w:rPr>
          <w:rFonts w:ascii="Times New Roman" w:hAnsi="Times New Roman"/>
          <w:sz w:val="24"/>
        </w:rPr>
        <w:t>послерейсового</w:t>
      </w:r>
      <w:proofErr w:type="spellEnd"/>
      <w:r w:rsidRPr="00D71D86">
        <w:rPr>
          <w:rFonts w:ascii="Times New Roman" w:hAnsi="Times New Roman"/>
          <w:sz w:val="24"/>
        </w:rPr>
        <w:t xml:space="preserve"> </w:t>
      </w:r>
      <w:proofErr w:type="spellStart"/>
      <w:r w:rsidRPr="00D71D86">
        <w:rPr>
          <w:rFonts w:ascii="Times New Roman" w:hAnsi="Times New Roman"/>
          <w:sz w:val="24"/>
        </w:rPr>
        <w:t>мед</w:t>
      </w:r>
      <w:proofErr w:type="gramStart"/>
      <w:r w:rsidRPr="00D71D86">
        <w:rPr>
          <w:rFonts w:ascii="Times New Roman" w:hAnsi="Times New Roman"/>
          <w:sz w:val="24"/>
        </w:rPr>
        <w:t>.о</w:t>
      </w:r>
      <w:proofErr w:type="gramEnd"/>
      <w:r w:rsidRPr="00D71D86">
        <w:rPr>
          <w:rFonts w:ascii="Times New Roman" w:hAnsi="Times New Roman"/>
          <w:sz w:val="24"/>
        </w:rPr>
        <w:t>свидетельствования</w:t>
      </w:r>
      <w:proofErr w:type="spellEnd"/>
      <w:r w:rsidRPr="00D71D86">
        <w:rPr>
          <w:rFonts w:ascii="Times New Roman" w:hAnsi="Times New Roman"/>
          <w:sz w:val="24"/>
        </w:rPr>
        <w:t>.</w:t>
      </w:r>
    </w:p>
    <w:p w:rsidR="00D71D86" w:rsidRPr="00D71D86" w:rsidRDefault="00D71D86" w:rsidP="00D71D8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 с учетом сменного пробега;</w:t>
      </w:r>
    </w:p>
    <w:p w:rsidR="00D71D86" w:rsidRPr="00D71D86" w:rsidRDefault="00D71D86" w:rsidP="00D71D8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 xml:space="preserve">Наличие разрешений на перевозку опасных грузов </w:t>
      </w:r>
      <w:proofErr w:type="gramStart"/>
      <w:r w:rsidRPr="00D71D86">
        <w:rPr>
          <w:rFonts w:ascii="Times New Roman" w:hAnsi="Times New Roman"/>
          <w:sz w:val="24"/>
        </w:rPr>
        <w:t>по</w:t>
      </w:r>
      <w:proofErr w:type="gramEnd"/>
      <w:r w:rsidRPr="00D71D86">
        <w:rPr>
          <w:rFonts w:ascii="Times New Roman" w:hAnsi="Times New Roman"/>
          <w:sz w:val="24"/>
        </w:rPr>
        <w:t xml:space="preserve"> а/д </w:t>
      </w:r>
      <w:proofErr w:type="gramStart"/>
      <w:r w:rsidRPr="00D71D86">
        <w:rPr>
          <w:rFonts w:ascii="Times New Roman" w:hAnsi="Times New Roman"/>
          <w:sz w:val="24"/>
        </w:rPr>
        <w:t>Федерального</w:t>
      </w:r>
      <w:proofErr w:type="gramEnd"/>
      <w:r w:rsidRPr="00D71D86">
        <w:rPr>
          <w:rFonts w:ascii="Times New Roman" w:hAnsi="Times New Roman"/>
          <w:sz w:val="24"/>
        </w:rPr>
        <w:t>, территориального, ведомственного значения в соответствии с требованием законодательства РФ.</w:t>
      </w:r>
    </w:p>
    <w:p w:rsidR="00D71D86" w:rsidRPr="00D71D86" w:rsidRDefault="00D71D86" w:rsidP="00D71D86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 в период с 01.0</w:t>
      </w:r>
      <w:r w:rsidR="00D71D86">
        <w:rPr>
          <w:rFonts w:ascii="Times New Roman" w:hAnsi="Times New Roman"/>
          <w:sz w:val="24"/>
        </w:rPr>
        <w:t>7</w:t>
      </w:r>
      <w:r w:rsidRPr="002412C9">
        <w:rPr>
          <w:rFonts w:ascii="Times New Roman" w:hAnsi="Times New Roman"/>
          <w:sz w:val="24"/>
        </w:rPr>
        <w:t>.2015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</w:t>
      </w:r>
      <w:r w:rsidR="00D71D86">
        <w:rPr>
          <w:rFonts w:ascii="Times New Roman" w:hAnsi="Times New Roman"/>
          <w:sz w:val="24"/>
        </w:rPr>
        <w:t>0.06</w:t>
      </w:r>
      <w:r w:rsidRPr="002412C9">
        <w:rPr>
          <w:rFonts w:ascii="Times New Roman" w:hAnsi="Times New Roman"/>
          <w:sz w:val="24"/>
        </w:rPr>
        <w:t>.201</w:t>
      </w:r>
      <w:r w:rsidR="00D71D86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b/>
          <w:sz w:val="24"/>
        </w:rPr>
      </w:pPr>
    </w:p>
    <w:p w:rsidR="00552A0C" w:rsidRDefault="00552A0C" w:rsidP="00ED7A97">
      <w:pPr>
        <w:rPr>
          <w:rFonts w:ascii="Times New Roman" w:hAnsi="Times New Roman"/>
          <w:b/>
          <w:sz w:val="24"/>
        </w:rPr>
      </w:pPr>
    </w:p>
    <w:p w:rsidR="00552A0C" w:rsidRDefault="00552A0C" w:rsidP="00ED7A97">
      <w:pPr>
        <w:rPr>
          <w:rFonts w:ascii="Times New Roman" w:hAnsi="Times New Roman"/>
          <w:b/>
          <w:sz w:val="24"/>
        </w:rPr>
      </w:pPr>
    </w:p>
    <w:p w:rsidR="00552A0C" w:rsidRDefault="00552A0C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D71D86" w:rsidRDefault="00D71D86" w:rsidP="00ED7A97">
      <w:pPr>
        <w:rPr>
          <w:rFonts w:ascii="Times New Roman" w:hAnsi="Times New Roman"/>
          <w:sz w:val="24"/>
        </w:rPr>
      </w:pPr>
    </w:p>
    <w:p w:rsidR="00D71D86" w:rsidRDefault="00D71D86" w:rsidP="00ED7A97">
      <w:pPr>
        <w:rPr>
          <w:rFonts w:ascii="Times New Roman" w:hAnsi="Times New Roman"/>
          <w:sz w:val="24"/>
        </w:rPr>
      </w:pPr>
    </w:p>
    <w:p w:rsidR="00D71D86" w:rsidRDefault="00D71D86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10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52A0C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B7B9D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KobzevSG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57</cp:revision>
  <cp:lastPrinted>2015-04-15T02:58:00Z</cp:lastPrinted>
  <dcterms:created xsi:type="dcterms:W3CDTF">2014-07-22T02:24:00Z</dcterms:created>
  <dcterms:modified xsi:type="dcterms:W3CDTF">2015-04-27T12:26:00Z</dcterms:modified>
</cp:coreProperties>
</file>