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D84250">
        <w:rPr>
          <w:rFonts w:ascii="Times New Roman" w:eastAsia="Times New Roman" w:hAnsi="Times New Roman" w:cs="Times New Roman"/>
          <w:lang w:eastAsia="ru-RU"/>
        </w:rPr>
        <w:t>1</w:t>
      </w:r>
    </w:p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>к договору</w:t>
      </w:r>
      <w:r w:rsidR="001F2C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3064E">
        <w:rPr>
          <w:rFonts w:ascii="Times New Roman" w:eastAsia="Times New Roman" w:hAnsi="Times New Roman" w:cs="Times New Roman"/>
          <w:lang w:eastAsia="ru-RU"/>
        </w:rPr>
        <w:t xml:space="preserve"> от </w:t>
      </w:r>
      <w:r w:rsidR="00D84250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>___»__</w:t>
      </w:r>
      <w:r w:rsidR="001F2C08">
        <w:rPr>
          <w:rFonts w:ascii="Times New Roman" w:eastAsia="Times New Roman" w:hAnsi="Times New Roman" w:cs="Times New Roman"/>
          <w:bCs/>
          <w:lang w:eastAsia="ru-RU"/>
        </w:rPr>
        <w:t>_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>___ 201</w:t>
      </w:r>
      <w:r w:rsidR="001F2C08">
        <w:rPr>
          <w:rFonts w:ascii="Times New Roman" w:eastAsia="Times New Roman" w:hAnsi="Times New Roman" w:cs="Times New Roman"/>
          <w:bCs/>
          <w:lang w:eastAsia="ru-RU"/>
        </w:rPr>
        <w:t>4</w:t>
      </w:r>
      <w:r w:rsidR="007701F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13064E" w:rsidRPr="0013064E" w:rsidRDefault="0013064E" w:rsidP="0013064E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4250" w:rsidRPr="00D84250" w:rsidRDefault="00D84250" w:rsidP="00D842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D84250" w:rsidRPr="00D84250" w:rsidRDefault="00D84250" w:rsidP="00D842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D84250" w:rsidRPr="00D84250" w:rsidRDefault="00D84250" w:rsidP="00D842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на оказание услуг по геологическому сопровождению бурения (</w:t>
      </w:r>
      <w:proofErr w:type="spellStart"/>
      <w:r w:rsidRPr="00D84250">
        <w:rPr>
          <w:rFonts w:ascii="Times New Roman" w:hAnsi="Times New Roman" w:cs="Times New Roman"/>
          <w:b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b/>
          <w:sz w:val="24"/>
          <w:szCs w:val="24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rFonts w:ascii="Times New Roman" w:hAnsi="Times New Roman" w:cs="Times New Roman"/>
          <w:b/>
          <w:sz w:val="24"/>
          <w:szCs w:val="24"/>
        </w:rPr>
        <w:t>зарезке</w:t>
      </w:r>
      <w:proofErr w:type="spellEnd"/>
      <w:r w:rsidRPr="00D84250">
        <w:rPr>
          <w:rFonts w:ascii="Times New Roman" w:hAnsi="Times New Roman" w:cs="Times New Roman"/>
          <w:b/>
          <w:sz w:val="24"/>
          <w:szCs w:val="24"/>
        </w:rPr>
        <w:t xml:space="preserve"> боковых стволов</w:t>
      </w:r>
      <w:r w:rsidR="00B63CC4">
        <w:rPr>
          <w:rFonts w:ascii="Times New Roman" w:hAnsi="Times New Roman" w:cs="Times New Roman"/>
          <w:b/>
          <w:sz w:val="24"/>
          <w:szCs w:val="24"/>
        </w:rPr>
        <w:t xml:space="preserve"> (ЗБС)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i/>
          <w:sz w:val="24"/>
          <w:szCs w:val="24"/>
        </w:rPr>
        <w:t>1.Общие положения</w:t>
      </w:r>
      <w:r w:rsidRPr="00D842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Оказание услуг по геологическому сопровождению бурения (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зарезке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на месторождениях ОАО «СН-МНГ».</w:t>
      </w:r>
      <w:bookmarkStart w:id="0" w:name="_GoBack"/>
      <w:bookmarkEnd w:id="0"/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Департамент геологии и недропользования ОАО «СН-МНГ»;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Планируемые сроки оказания услуг 01.03.2015г. – 30.06.2015г.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Планируемый объём работ сопровождение 47 скважин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Договор не предусматривает наличие предоплаты.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Оплата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250">
        <w:rPr>
          <w:rFonts w:ascii="Times New Roman" w:hAnsi="Times New Roman" w:cs="Times New Roman"/>
          <w:i/>
          <w:sz w:val="24"/>
          <w:szCs w:val="24"/>
        </w:rPr>
        <w:t xml:space="preserve">2. Основные требования к услугам.    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Геологическое сопровождение (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Геонавигация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) бурения горизонтальных скважин, горизонтальных стволов должна осуществляться в программном комплексе (далее ПК)  с методом двумерного синтетического каротажа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 и т.д.);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Все предложения и расчеты выполняются на созданных в процессе работы двумерных синтетических моделях.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Работа должна быть оформлена и представлена в виде окончательного отчета на бумажном носителе (2 экз.) и в электронном виде 1 экз. (CD или DVD диски).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Промежуточные этапы – в виде информационного отчета.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250">
        <w:rPr>
          <w:rFonts w:ascii="Times New Roman" w:hAnsi="Times New Roman" w:cs="Times New Roman"/>
          <w:i/>
          <w:sz w:val="24"/>
          <w:szCs w:val="24"/>
        </w:rPr>
        <w:t xml:space="preserve">3. Основные требования к Контрагенту. 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 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lastRenderedPageBreak/>
        <w:t>• Участник конкурса должен обладать необходимым для выполнения работы производственным и техническим потенциалом.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 Участник должен обладать специализированным программным комплексом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; и т.д.)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 Участник должен обладать опытом производства работ.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• 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250">
        <w:rPr>
          <w:rFonts w:ascii="Times New Roman" w:hAnsi="Times New Roman" w:cs="Times New Roman"/>
          <w:i/>
          <w:sz w:val="24"/>
          <w:szCs w:val="24"/>
        </w:rPr>
        <w:t xml:space="preserve">4. Условия оказания услуг.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 xml:space="preserve">        1. Целевое назначение работы.</w:t>
      </w:r>
      <w:r w:rsidRPr="00D84250">
        <w:rPr>
          <w:rFonts w:ascii="Times New Roman" w:hAnsi="Times New Roman" w:cs="Times New Roman"/>
          <w:sz w:val="24"/>
          <w:szCs w:val="24"/>
        </w:rPr>
        <w:t xml:space="preserve">  Проводка горизонтальных скважин, горизонтальных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зарезок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согласно геологическим задачам по средствам корректировок траекторий в режиме реального времени (24часа в сутки/7дней в неделю) в зависимости от геологической обстановки в районе бурения на основе данных бурения получаемых от подрядчика по телеметрии и ГТИ на месторождениях ОАО «СН-МНГ».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       Услуги включают в себя: построение 2D модели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проводки горизонтального ствола в продуктивном горизонте;  круглосуточный анализ данных ГИС получаемых в процессе бурения; оперативную выдачу рекомендаций по изменению траектории бурения горизонтальных стволов в наилучших зонах продуктивных пластов; оценку качества и эффективности проводки горизонтальных скважин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84250">
        <w:rPr>
          <w:rFonts w:ascii="Times New Roman" w:hAnsi="Times New Roman" w:cs="Times New Roman"/>
          <w:b/>
          <w:sz w:val="24"/>
          <w:szCs w:val="24"/>
        </w:rPr>
        <w:t xml:space="preserve"> 2. Основание для постановки задачи: </w:t>
      </w:r>
      <w:r w:rsidRPr="00D84250">
        <w:rPr>
          <w:rFonts w:ascii="Times New Roman" w:hAnsi="Times New Roman" w:cs="Times New Roman"/>
          <w:sz w:val="24"/>
          <w:szCs w:val="24"/>
        </w:rPr>
        <w:t xml:space="preserve">Достижение целей и выполнение геологических задач, возложенных на скважину, путем оперативного изменения траектории горизонтальной скважины, горизонтальной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зарезок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во время бурения в зависимости от геологических условий.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 xml:space="preserve">         3. Объекты исследования.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Объектом исследования являются все продуктивные объекты для бурения горизонтальных скважин, горизонтальных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зарезок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на месторождениях ОАО «СН-МНГ».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 xml:space="preserve">         4. Основные требования к работе: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Работа выполняется для ОАО 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-Мегионнефтегаз», </w:t>
      </w:r>
      <w:proofErr w:type="gramStart"/>
      <w:r w:rsidRPr="00D84250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D84250">
        <w:rPr>
          <w:rFonts w:ascii="Times New Roman" w:hAnsi="Times New Roman" w:cs="Times New Roman"/>
          <w:sz w:val="24"/>
          <w:szCs w:val="24"/>
        </w:rPr>
        <w:t xml:space="preserve"> утверждённой программы на оказание услуг (приложение к лоту). Осуществляется геологическое сопровождение бурения горизонтальных скважин, горизонтальных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зарезок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на месторождениях ОАО «СН-МНГ» с целью достижения максимальной эффективности проводки горизонтального участка по коллектору.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4250">
        <w:rPr>
          <w:rFonts w:ascii="Times New Roman" w:hAnsi="Times New Roman" w:cs="Times New Roman"/>
          <w:b/>
          <w:sz w:val="24"/>
          <w:szCs w:val="24"/>
          <w:u w:val="single"/>
        </w:rPr>
        <w:t>Работа должна содержать: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В рамках предоставляемых услуг Исполнитель производит следующие работы: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84250">
        <w:rPr>
          <w:rFonts w:ascii="Times New Roman" w:hAnsi="Times New Roman" w:cs="Times New Roman"/>
          <w:sz w:val="24"/>
          <w:szCs w:val="24"/>
        </w:rPr>
        <w:tab/>
      </w:r>
      <w:r w:rsidRPr="00D84250">
        <w:rPr>
          <w:rFonts w:ascii="Times New Roman" w:hAnsi="Times New Roman" w:cs="Times New Roman"/>
          <w:b/>
          <w:sz w:val="24"/>
          <w:szCs w:val="24"/>
        </w:rPr>
        <w:t>Получает перечень скважин подлежащих  геологическому сопровождению бурения (</w:t>
      </w:r>
      <w:proofErr w:type="spellStart"/>
      <w:r w:rsidRPr="00D84250">
        <w:rPr>
          <w:rFonts w:ascii="Times New Roman" w:hAnsi="Times New Roman" w:cs="Times New Roman"/>
          <w:b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b/>
          <w:sz w:val="24"/>
          <w:szCs w:val="24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rFonts w:ascii="Times New Roman" w:hAnsi="Times New Roman" w:cs="Times New Roman"/>
          <w:b/>
          <w:sz w:val="24"/>
          <w:szCs w:val="24"/>
        </w:rPr>
        <w:t>зарезке</w:t>
      </w:r>
      <w:proofErr w:type="spellEnd"/>
      <w:r w:rsidRPr="00D84250">
        <w:rPr>
          <w:rFonts w:ascii="Times New Roman" w:hAnsi="Times New Roman" w:cs="Times New Roman"/>
          <w:b/>
          <w:sz w:val="24"/>
          <w:szCs w:val="24"/>
        </w:rPr>
        <w:t xml:space="preserve"> боковых стволов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2.</w:t>
      </w:r>
      <w:r w:rsidRPr="00D84250">
        <w:rPr>
          <w:rFonts w:ascii="Times New Roman" w:hAnsi="Times New Roman" w:cs="Times New Roman"/>
          <w:b/>
          <w:sz w:val="24"/>
          <w:szCs w:val="24"/>
        </w:rPr>
        <w:tab/>
        <w:t>Предварительное моделирование и планирование.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Перед началом бурения горизонтальной секции каждой скважины Инженер по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производит следующие работы: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2.1.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Сбор, подготовку и контроль качества исходной информации для предварительного моделирования.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Исходные данные для моделирования предоставляемые Заказчиком: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Карта текущего состояния разработки с отображением транзитного фонта;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Карта накопленных отборов;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Структурная карта;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Карта эффективных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нефтерасыщенных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толщин;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Каротажный материал по опорным скважинам в формате LAS, в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. результаты интерпретации ГИС;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Инклинометрия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по опорным скважинам в формате LAS,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txt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Плановая траектория скважины.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2.2.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Создание модели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. Расчет синтетических каротажных диаграмм методов ГИС, планируемых к регистрации в скважине, на основе имеющихся материалов ГИС по соседним скважинам и структурных построений по месторождению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; и т.д.) 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2.3.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После предварительного моделирования в </w:t>
      </w:r>
      <w:proofErr w:type="spellStart"/>
      <w:proofErr w:type="gramStart"/>
      <w:r w:rsidRPr="00D84250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84250">
        <w:rPr>
          <w:rFonts w:ascii="Times New Roman" w:hAnsi="Times New Roman" w:cs="Times New Roman"/>
          <w:sz w:val="24"/>
          <w:szCs w:val="24"/>
        </w:rPr>
        <w:t xml:space="preserve"> специализированном программном комплексе Исполнитель участвует в совещании с представителями Заказчика для обсуждения результатов работы. Результаты предварительного моделирования  принимаются Заказчиком и при необходимости, корректируются Исполнителем.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2.4.</w:t>
      </w:r>
      <w:r w:rsidRPr="00D84250">
        <w:rPr>
          <w:rFonts w:ascii="Times New Roman" w:hAnsi="Times New Roman" w:cs="Times New Roman"/>
          <w:sz w:val="24"/>
          <w:szCs w:val="24"/>
        </w:rPr>
        <w:tab/>
        <w:t>Разработка и согласование геологических задач на горизонтальную скважину, критериев оценки успешности выполнения работ Исполнителем, требований к проводке скважины.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2.5.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Определение и согласование  схемы взаимодействия сторон (Заказчик, группа по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, подрядчик по бурению, подрядчик по ННБ, ГТИ и пр.) в процессе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Результатом данного этапа являются модели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 и т.д.), с синтетическими кривыми ГИС планируемых к записи в процессе бурения, по каждой скважине. Согласованные цели и задачи на горизонтальный ствол, критерии успешности работы и схема взаимодействия участников процесса.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Материалы по данному этапу согласуются и подписываются сторонами.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3.</w:t>
      </w:r>
      <w:r w:rsidRPr="00D84250">
        <w:rPr>
          <w:rFonts w:ascii="Times New Roman" w:hAnsi="Times New Roman" w:cs="Times New Roman"/>
          <w:b/>
          <w:sz w:val="24"/>
          <w:szCs w:val="24"/>
        </w:rPr>
        <w:tab/>
        <w:t>Круглосуточное геологическое сопровождение бурения скважины.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Организацию передачи оперативной информации, от задействованных в процессе сторон, для выполнения работ по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берет на себя Заказчик. Передача данных осуществляется по электронной почте каждый интервал, согласованный сторонами на этапе планирования скважины, согласно утвержденному списку рассылки в следующем объеме: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Фактические кривые ГИС-</w:t>
      </w:r>
      <w:proofErr w:type="gramStart"/>
      <w:r w:rsidRPr="00D84250">
        <w:rPr>
          <w:rFonts w:ascii="Times New Roman" w:hAnsi="Times New Roman" w:cs="Times New Roman"/>
          <w:sz w:val="24"/>
          <w:szCs w:val="24"/>
        </w:rPr>
        <w:t>LWD</w:t>
      </w:r>
      <w:proofErr w:type="gramEnd"/>
      <w:r w:rsidRPr="00D84250">
        <w:rPr>
          <w:rFonts w:ascii="Times New Roman" w:hAnsi="Times New Roman" w:cs="Times New Roman"/>
          <w:sz w:val="24"/>
          <w:szCs w:val="24"/>
        </w:rPr>
        <w:t xml:space="preserve"> в формате LAS;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Фактическая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инклинометрия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ствола скважины (MD, INCL, AZIM, альтитуда и т.д.) в формате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>ГТИ (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газокаротаж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шламограмма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, в формате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);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•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Ежесуточные сводки от подрядчика по бурению и ННБ о ходе работ на буровой в формате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Круглосуточное геологическое сопровождение бурения скважины начинается </w:t>
      </w:r>
      <w:proofErr w:type="gramStart"/>
      <w:r w:rsidRPr="00D84250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Pr="00D84250">
        <w:rPr>
          <w:rFonts w:ascii="Times New Roman" w:hAnsi="Times New Roman" w:cs="Times New Roman"/>
          <w:sz w:val="24"/>
          <w:szCs w:val="24"/>
        </w:rPr>
        <w:t xml:space="preserve"> работ, согласованного сторонами, т.е. работа может начинаться с определенной глубины по стволу скважины (например, 200 или 300 метров до целевого интервала).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После получения данных с буровой, Исполнитель обрабатывает, анализирует информацию и формирует свои рекомендации исходя из межскважинной корреляции  и сопоставления синтетических кривых с данными каротажа, полученного в процессе бурения скважины, и </w:t>
      </w:r>
      <w:proofErr w:type="gramStart"/>
      <w:r w:rsidRPr="00D84250">
        <w:rPr>
          <w:rFonts w:ascii="Times New Roman" w:hAnsi="Times New Roman" w:cs="Times New Roman"/>
          <w:sz w:val="24"/>
          <w:szCs w:val="24"/>
        </w:rPr>
        <w:t>предоставляет оперативный отчет</w:t>
      </w:r>
      <w:proofErr w:type="gramEnd"/>
      <w:r w:rsidRPr="00D84250">
        <w:rPr>
          <w:rFonts w:ascii="Times New Roman" w:hAnsi="Times New Roman" w:cs="Times New Roman"/>
          <w:sz w:val="24"/>
          <w:szCs w:val="24"/>
        </w:rPr>
        <w:t xml:space="preserve"> по утвержденному списку рассылки.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В случае необходимости оперативной корректировки траектории скважины Исполнитель уведомляет Заказчика по средствам рекомендации на корректировку траектории. После обсуждения с представителями Заказчика данной информации, траектория горизонтальной скважины может быть скорректирована Заказчиком, если иного не оговорено в согласованной схеме взаимодействия.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Каждая рекомендация Исполнителя должна быть подтверждена или отклонена Заказчиком в письменной форме по электронной почте. В случае принятия, каких либо решений по корректировке траектории скважины Заказчиком без участия Исполнителя, Заказчик оповещает Исполнителя об этом по электронной почте.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 xml:space="preserve">Так же Исполнителем передаются Заказчику ежедневные отчёты по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по утверждённому списку рассылки 2 раза в сутки. Отчеты оформляются в виде презентаций в формате *.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и проект по геологическому сопровождению бурения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; и т.д.).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4.</w:t>
      </w:r>
      <w:r w:rsidRPr="00D84250">
        <w:rPr>
          <w:rFonts w:ascii="Times New Roman" w:hAnsi="Times New Roman" w:cs="Times New Roman"/>
          <w:b/>
          <w:sz w:val="24"/>
          <w:szCs w:val="24"/>
        </w:rPr>
        <w:tab/>
        <w:t>Финальный отчет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4.1.</w:t>
      </w:r>
      <w:r w:rsidRPr="00D84250">
        <w:rPr>
          <w:rFonts w:ascii="Times New Roman" w:hAnsi="Times New Roman" w:cs="Times New Roman"/>
          <w:sz w:val="24"/>
          <w:szCs w:val="24"/>
        </w:rPr>
        <w:tab/>
        <w:t xml:space="preserve">По завершению бурения скважины Заказчику передается финальный отчет по проводке скважины, который включает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геонавигационную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модель в специализированном программном комплексе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Pr="00D84250">
        <w:rPr>
          <w:rFonts w:ascii="Times New Roman" w:hAnsi="Times New Roman" w:cs="Times New Roman"/>
          <w:sz w:val="24"/>
          <w:szCs w:val="24"/>
        </w:rPr>
        <w:tab/>
        <w:t>Финальный отчет по каждой скважине предоставляется Заказчику не позднее 72 часов после завершения бурения скважины в виде бумажной копии и электронной копии в виде презентаций в формате *.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4.3.</w:t>
      </w:r>
      <w:r w:rsidRPr="00D84250">
        <w:rPr>
          <w:rFonts w:ascii="Times New Roman" w:hAnsi="Times New Roman" w:cs="Times New Roman"/>
          <w:sz w:val="24"/>
          <w:szCs w:val="24"/>
        </w:rPr>
        <w:tab/>
        <w:t>Результатом работы по интерактивному сопровождению бурения должны являться конкретные рекомендации Исполнителя по корректировке и оптимизации расположения стволов скважин в продуктивном пласте с обоснованием необходимости таких изменений, направленные на достижение геологических целей и задач на скважину.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4.4.</w:t>
      </w:r>
      <w:r w:rsidRPr="00D84250">
        <w:rPr>
          <w:rFonts w:ascii="Times New Roman" w:hAnsi="Times New Roman" w:cs="Times New Roman"/>
          <w:sz w:val="24"/>
          <w:szCs w:val="24"/>
        </w:rPr>
        <w:tab/>
        <w:t>Заказчику передаются финальные информационные отчеты по каждой скважине.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4.5.</w:t>
      </w:r>
      <w:r w:rsidRPr="00D8425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Геонавигационная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модель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 и т.д.) по каждой пробуренной скважине.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4.6.</w:t>
      </w:r>
      <w:r w:rsidRPr="00D84250">
        <w:rPr>
          <w:rFonts w:ascii="Times New Roman" w:hAnsi="Times New Roman" w:cs="Times New Roman"/>
          <w:sz w:val="24"/>
          <w:szCs w:val="24"/>
        </w:rPr>
        <w:tab/>
        <w:t>Промежуточный отчёт по завершению календарного месяца.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4.7.</w:t>
      </w:r>
      <w:r w:rsidRPr="00D84250">
        <w:rPr>
          <w:rFonts w:ascii="Times New Roman" w:hAnsi="Times New Roman" w:cs="Times New Roman"/>
          <w:sz w:val="24"/>
          <w:szCs w:val="24"/>
        </w:rPr>
        <w:tab/>
        <w:t>Окончательный отчёт по завершению выполнения договора.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250" w:rsidRPr="00D84250" w:rsidRDefault="00D84250" w:rsidP="00D842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250">
        <w:rPr>
          <w:rFonts w:ascii="Times New Roman" w:hAnsi="Times New Roman" w:cs="Times New Roman"/>
          <w:b/>
          <w:sz w:val="24"/>
          <w:szCs w:val="24"/>
        </w:rPr>
        <w:t>5.</w:t>
      </w:r>
      <w:r w:rsidRPr="00D84250">
        <w:rPr>
          <w:rFonts w:ascii="Times New Roman" w:hAnsi="Times New Roman" w:cs="Times New Roman"/>
          <w:b/>
          <w:sz w:val="24"/>
          <w:szCs w:val="24"/>
        </w:rPr>
        <w:tab/>
        <w:t>Особые требования: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5.1    Исполнитель должен обладать постоянно действующей рабочей группой из специалистов с квалификацией достаточной для оказания качественных сервисных услуг по геологическому сопровождению бурения (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геонавигации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зарезке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боковых стволов в объеме 3 (трех) скважин в смену. 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5.2</w:t>
      </w:r>
      <w:proofErr w:type="gramStart"/>
      <w:r w:rsidRPr="00D84250">
        <w:rPr>
          <w:rFonts w:ascii="Times New Roman" w:hAnsi="Times New Roman" w:cs="Times New Roman"/>
          <w:sz w:val="24"/>
          <w:szCs w:val="24"/>
        </w:rPr>
        <w:tab/>
        <w:t>В</w:t>
      </w:r>
      <w:proofErr w:type="gramEnd"/>
      <w:r w:rsidRPr="00D84250">
        <w:rPr>
          <w:rFonts w:ascii="Times New Roman" w:hAnsi="Times New Roman" w:cs="Times New Roman"/>
          <w:sz w:val="24"/>
          <w:szCs w:val="24"/>
        </w:rPr>
        <w:t>се работы по сопровождению бурения должны проводятся с использованием методов двухмерного синтетического каротажа в специализированном программном комплексе («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Геонафт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»;   модуль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Geosteering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250">
        <w:rPr>
          <w:rFonts w:ascii="Times New Roman" w:hAnsi="Times New Roman" w:cs="Times New Roman"/>
          <w:sz w:val="24"/>
          <w:szCs w:val="24"/>
        </w:rPr>
        <w:t>Petrel</w:t>
      </w:r>
      <w:proofErr w:type="spellEnd"/>
      <w:r w:rsidRPr="00D84250">
        <w:rPr>
          <w:rFonts w:ascii="Times New Roman" w:hAnsi="Times New Roman" w:cs="Times New Roman"/>
          <w:sz w:val="24"/>
          <w:szCs w:val="24"/>
        </w:rPr>
        <w:t>; и т.д.).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5.3.     Заказчик отвечает за своевременное и полноценное предоставление всей требуемой для выполнения поставленных задач геологической, геофизической и технологической информации.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6.</w:t>
      </w:r>
      <w:r w:rsidRPr="00D84250">
        <w:rPr>
          <w:rFonts w:ascii="Times New Roman" w:hAnsi="Times New Roman" w:cs="Times New Roman"/>
          <w:sz w:val="24"/>
          <w:szCs w:val="24"/>
        </w:rPr>
        <w:tab/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D84250" w:rsidRPr="00D84250" w:rsidRDefault="00D84250" w:rsidP="00D84250">
      <w:pPr>
        <w:pStyle w:val="a3"/>
        <w:numPr>
          <w:ilvl w:val="0"/>
          <w:numId w:val="32"/>
        </w:numPr>
        <w:jc w:val="both"/>
      </w:pPr>
      <w:r w:rsidRPr="00D84250">
        <w:t>Смерть в результате несчастного случая;</w:t>
      </w:r>
    </w:p>
    <w:p w:rsidR="00D84250" w:rsidRPr="00D84250" w:rsidRDefault="00D84250" w:rsidP="00D84250">
      <w:pPr>
        <w:pStyle w:val="a3"/>
        <w:numPr>
          <w:ilvl w:val="0"/>
          <w:numId w:val="32"/>
        </w:numPr>
        <w:jc w:val="both"/>
      </w:pPr>
      <w:r w:rsidRPr="00D84250">
        <w:t>Постоянная (полная) утрата трудоспособности в результате несчастного случая с установлением I, II, III групп инвалидности.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  <w:r w:rsidRPr="00D84250">
        <w:rPr>
          <w:rFonts w:ascii="Times New Roman" w:hAnsi="Times New Roman" w:cs="Times New Roman"/>
          <w:sz w:val="24"/>
          <w:szCs w:val="24"/>
        </w:rPr>
        <w:t>Договор добровольного страхования  от несчастных случаев заключать без увеличения стоимости оказания основных услуг</w:t>
      </w:r>
    </w:p>
    <w:p w:rsidR="00D84250" w:rsidRPr="00D84250" w:rsidRDefault="00D84250" w:rsidP="00D8425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17"/>
        <w:tblOverlap w:val="never"/>
        <w:tblW w:w="10560" w:type="dxa"/>
        <w:tblLook w:val="0000" w:firstRow="0" w:lastRow="0" w:firstColumn="0" w:lastColumn="0" w:noHBand="0" w:noVBand="0"/>
      </w:tblPr>
      <w:tblGrid>
        <w:gridCol w:w="5280"/>
        <w:gridCol w:w="5280"/>
      </w:tblGrid>
      <w:tr w:rsidR="00D84250" w:rsidRPr="00DD3A13" w:rsidTr="00D84250">
        <w:trPr>
          <w:trHeight w:val="53"/>
        </w:trPr>
        <w:tc>
          <w:tcPr>
            <w:tcW w:w="5280" w:type="dxa"/>
          </w:tcPr>
          <w:p w:rsidR="00D84250" w:rsidRDefault="00D84250" w:rsidP="00D84250">
            <w:pPr>
              <w:pStyle w:val="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ЗАКАЗЧИК</w:t>
            </w:r>
          </w:p>
          <w:p w:rsidR="00D84250" w:rsidRPr="00F310C3" w:rsidRDefault="00D84250" w:rsidP="00D84250">
            <w:pPr>
              <w:pStyle w:val="3"/>
              <w:rPr>
                <w:b w:val="0"/>
                <w:sz w:val="24"/>
              </w:rPr>
            </w:pPr>
            <w:r w:rsidRPr="00F310C3">
              <w:rPr>
                <w:b w:val="0"/>
                <w:sz w:val="24"/>
              </w:rPr>
              <w:t>ОАО «СН-МНГ»</w:t>
            </w:r>
          </w:p>
          <w:p w:rsidR="00D84250" w:rsidRPr="00F310C3" w:rsidRDefault="00D84250" w:rsidP="00D84250"/>
        </w:tc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" w:right="24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ИСПОЛНИТЕЛЬ</w:t>
            </w:r>
          </w:p>
        </w:tc>
      </w:tr>
      <w:tr w:rsidR="00D84250" w:rsidRPr="001101E3" w:rsidTr="00D84250">
        <w:trPr>
          <w:trHeight w:val="53"/>
        </w:trPr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" w:right="24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250" w:rsidRPr="001101E3" w:rsidTr="00D84250">
        <w:trPr>
          <w:trHeight w:val="53"/>
        </w:trPr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310C3"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</w:p>
        </w:tc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" w:right="246"/>
              <w:rPr>
                <w:rFonts w:ascii="Times New Roman" w:hAnsi="Times New Roman"/>
                <w:sz w:val="24"/>
                <w:szCs w:val="24"/>
              </w:rPr>
            </w:pPr>
            <w:r w:rsidRPr="00F310C3">
              <w:rPr>
                <w:rFonts w:ascii="Times New Roman" w:hAnsi="Times New Roman"/>
                <w:sz w:val="24"/>
                <w:szCs w:val="24"/>
              </w:rPr>
              <w:t xml:space="preserve"> _______________ </w:t>
            </w:r>
          </w:p>
        </w:tc>
      </w:tr>
      <w:tr w:rsidR="00D84250" w:rsidRPr="001101E3" w:rsidTr="00D84250">
        <w:trPr>
          <w:trHeight w:val="53"/>
        </w:trPr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0C3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F310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D84250" w:rsidRPr="00F310C3" w:rsidRDefault="00D84250" w:rsidP="00D84250">
            <w:pPr>
              <w:spacing w:after="0" w:line="240" w:lineRule="auto"/>
              <w:ind w:left="-1" w:right="246"/>
              <w:rPr>
                <w:rFonts w:ascii="Times New Roman" w:hAnsi="Times New Roman"/>
                <w:sz w:val="24"/>
                <w:szCs w:val="24"/>
              </w:rPr>
            </w:pPr>
            <w:r w:rsidRPr="00F310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310C3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F310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91F91" w:rsidRDefault="00D91F91" w:rsidP="00D91F91">
      <w:pPr>
        <w:jc w:val="both"/>
      </w:pPr>
    </w:p>
    <w:tbl>
      <w:tblPr>
        <w:tblW w:w="10884" w:type="dxa"/>
        <w:tblInd w:w="108" w:type="dxa"/>
        <w:tblLook w:val="0000" w:firstRow="0" w:lastRow="0" w:firstColumn="0" w:lastColumn="0" w:noHBand="0" w:noVBand="0"/>
      </w:tblPr>
      <w:tblGrid>
        <w:gridCol w:w="10884"/>
      </w:tblGrid>
      <w:tr w:rsidR="00F55511" w:rsidRPr="00F310C3" w:rsidTr="00F55511">
        <w:trPr>
          <w:trHeight w:val="53"/>
        </w:trPr>
        <w:tc>
          <w:tcPr>
            <w:tcW w:w="10884" w:type="dxa"/>
          </w:tcPr>
          <w:p w:rsidR="00F55511" w:rsidRPr="00F310C3" w:rsidRDefault="00F55511" w:rsidP="00F55511">
            <w:pPr>
              <w:pStyle w:val="3"/>
              <w:rPr>
                <w:b w:val="0"/>
                <w:sz w:val="24"/>
              </w:rPr>
            </w:pPr>
          </w:p>
          <w:p w:rsidR="00F55511" w:rsidRPr="00861A4A" w:rsidRDefault="00F55511" w:rsidP="00F55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5511" w:rsidRPr="00F310C3" w:rsidRDefault="00F55511" w:rsidP="00717736"/>
        </w:tc>
      </w:tr>
    </w:tbl>
    <w:p w:rsidR="00BB5062" w:rsidRPr="00F55511" w:rsidRDefault="00BB5062" w:rsidP="00F55511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384" w:rsidRDefault="00D10384"/>
    <w:sectPr w:rsidR="00D10384" w:rsidSect="00D84250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60F"/>
    <w:multiLevelType w:val="multilevel"/>
    <w:tmpl w:val="D1DA33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">
    <w:nsid w:val="07DE7324"/>
    <w:multiLevelType w:val="singleLevel"/>
    <w:tmpl w:val="D9B0CE00"/>
    <w:lvl w:ilvl="0">
      <w:start w:val="1"/>
      <w:numFmt w:val="decimal"/>
      <w:lvlText w:val="5.3.%1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">
    <w:nsid w:val="088A3D02"/>
    <w:multiLevelType w:val="hybridMultilevel"/>
    <w:tmpl w:val="91587D56"/>
    <w:lvl w:ilvl="0" w:tplc="CF3CBFF6">
      <w:start w:val="1"/>
      <w:numFmt w:val="decimal"/>
      <w:lvlText w:val="8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D60E9"/>
    <w:multiLevelType w:val="hybridMultilevel"/>
    <w:tmpl w:val="3D404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37C2"/>
    <w:multiLevelType w:val="multilevel"/>
    <w:tmpl w:val="E65C1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84D7314"/>
    <w:multiLevelType w:val="singleLevel"/>
    <w:tmpl w:val="34761C0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6">
    <w:nsid w:val="18757AF4"/>
    <w:multiLevelType w:val="hybridMultilevel"/>
    <w:tmpl w:val="00087990"/>
    <w:lvl w:ilvl="0" w:tplc="56124B3E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A618DC"/>
    <w:multiLevelType w:val="multilevel"/>
    <w:tmpl w:val="A63CB8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B6175C"/>
    <w:multiLevelType w:val="multilevel"/>
    <w:tmpl w:val="A9A013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0">
    <w:nsid w:val="2C30568C"/>
    <w:multiLevelType w:val="hybridMultilevel"/>
    <w:tmpl w:val="0268C31A"/>
    <w:lvl w:ilvl="0" w:tplc="9AF4ECE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16055"/>
    <w:multiLevelType w:val="hybridMultilevel"/>
    <w:tmpl w:val="C6765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410714"/>
    <w:multiLevelType w:val="multilevel"/>
    <w:tmpl w:val="552831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3BDB0192"/>
    <w:multiLevelType w:val="singleLevel"/>
    <w:tmpl w:val="D97ADA2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4">
    <w:nsid w:val="3C6951D5"/>
    <w:multiLevelType w:val="multilevel"/>
    <w:tmpl w:val="19AE76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nsid w:val="44C57640"/>
    <w:multiLevelType w:val="multilevel"/>
    <w:tmpl w:val="823A888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6">
    <w:nsid w:val="48DA1501"/>
    <w:multiLevelType w:val="hybridMultilevel"/>
    <w:tmpl w:val="129E838C"/>
    <w:lvl w:ilvl="0" w:tplc="C0E0ED0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347C44"/>
    <w:multiLevelType w:val="singleLevel"/>
    <w:tmpl w:val="14A6945A"/>
    <w:lvl w:ilvl="0">
      <w:start w:val="1"/>
      <w:numFmt w:val="decimal"/>
      <w:lvlText w:val="7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8">
    <w:nsid w:val="4E2F1FF5"/>
    <w:multiLevelType w:val="singleLevel"/>
    <w:tmpl w:val="6BB6C166"/>
    <w:lvl w:ilvl="0">
      <w:start w:val="1"/>
      <w:numFmt w:val="decimal"/>
      <w:lvlText w:val="5.2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9">
    <w:nsid w:val="505F09D2"/>
    <w:multiLevelType w:val="hybridMultilevel"/>
    <w:tmpl w:val="02A26946"/>
    <w:lvl w:ilvl="0" w:tplc="709C6B6C">
      <w:start w:val="5"/>
      <w:numFmt w:val="bullet"/>
      <w:lvlText w:val=""/>
      <w:lvlJc w:val="left"/>
      <w:pPr>
        <w:tabs>
          <w:tab w:val="num" w:pos="-402"/>
        </w:tabs>
        <w:ind w:left="1491"/>
      </w:pPr>
      <w:rPr>
        <w:rFonts w:ascii="Wingdings" w:hAnsi="Wingdings" w:hint="default"/>
        <w:sz w:val="20"/>
      </w:rPr>
    </w:lvl>
    <w:lvl w:ilvl="1" w:tplc="0AFCB428">
      <w:start w:val="5"/>
      <w:numFmt w:val="bullet"/>
      <w:lvlText w:val=""/>
      <w:lvlJc w:val="left"/>
      <w:pPr>
        <w:tabs>
          <w:tab w:val="num" w:pos="357"/>
        </w:tabs>
        <w:ind w:left="357"/>
      </w:pPr>
      <w:rPr>
        <w:rFonts w:ascii="Symbol" w:hAnsi="Symbol" w:hint="default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434D5B"/>
    <w:multiLevelType w:val="multilevel"/>
    <w:tmpl w:val="BE962EB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5B034C71"/>
    <w:multiLevelType w:val="singleLevel"/>
    <w:tmpl w:val="B60805F6"/>
    <w:lvl w:ilvl="0">
      <w:start w:val="1"/>
      <w:numFmt w:val="decimal"/>
      <w:lvlText w:val="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2">
    <w:nsid w:val="632669EC"/>
    <w:multiLevelType w:val="multilevel"/>
    <w:tmpl w:val="9748394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>
    <w:nsid w:val="6A120C54"/>
    <w:multiLevelType w:val="hybridMultilevel"/>
    <w:tmpl w:val="D9EA9A2E"/>
    <w:lvl w:ilvl="0" w:tplc="4CFE304C">
      <w:start w:val="5"/>
      <w:numFmt w:val="bullet"/>
      <w:lvlText w:val=""/>
      <w:lvlJc w:val="left"/>
      <w:pPr>
        <w:tabs>
          <w:tab w:val="num" w:pos="1491"/>
        </w:tabs>
        <w:ind w:left="1491"/>
      </w:pPr>
      <w:rPr>
        <w:rFonts w:ascii="Wingdings" w:hAnsi="Wingdings" w:hint="default"/>
        <w:sz w:val="20"/>
      </w:rPr>
    </w:lvl>
    <w:lvl w:ilvl="1" w:tplc="E43E9F32">
      <w:start w:val="5"/>
      <w:numFmt w:val="bullet"/>
      <w:lvlText w:val=""/>
      <w:lvlJc w:val="left"/>
      <w:pPr>
        <w:tabs>
          <w:tab w:val="num" w:pos="357"/>
        </w:tabs>
        <w:ind w:left="357"/>
      </w:pPr>
      <w:rPr>
        <w:rFonts w:ascii="Symbol" w:hAnsi="Symbol" w:hint="default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0B3778"/>
    <w:multiLevelType w:val="hybridMultilevel"/>
    <w:tmpl w:val="C2DA9D08"/>
    <w:lvl w:ilvl="0" w:tplc="28548BD2">
      <w:start w:val="1"/>
      <w:numFmt w:val="bullet"/>
      <w:lvlText w:val=""/>
      <w:lvlJc w:val="left"/>
      <w:pPr>
        <w:tabs>
          <w:tab w:val="num" w:pos="731"/>
        </w:tabs>
        <w:ind w:left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600F70">
      <w:start w:val="1"/>
      <w:numFmt w:val="bullet"/>
      <w:lvlText w:val=""/>
      <w:lvlJc w:val="left"/>
      <w:pPr>
        <w:tabs>
          <w:tab w:val="num" w:pos="357"/>
        </w:tabs>
        <w:ind w:left="357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F52939"/>
    <w:multiLevelType w:val="hybridMultilevel"/>
    <w:tmpl w:val="6EA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C5D3D"/>
    <w:multiLevelType w:val="multilevel"/>
    <w:tmpl w:val="6A7EFC2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772941C8"/>
    <w:multiLevelType w:val="hybridMultilevel"/>
    <w:tmpl w:val="DEC610B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9122F"/>
    <w:multiLevelType w:val="hybridMultilevel"/>
    <w:tmpl w:val="C3D8B5F4"/>
    <w:lvl w:ilvl="0" w:tplc="0419000F">
      <w:start w:val="1"/>
      <w:numFmt w:val="decimal"/>
      <w:lvlText w:val="%1."/>
      <w:lvlJc w:val="left"/>
      <w:pPr>
        <w:tabs>
          <w:tab w:val="num" w:pos="8583"/>
        </w:tabs>
        <w:ind w:left="85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3"/>
        </w:tabs>
        <w:ind w:left="9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023"/>
        </w:tabs>
        <w:ind w:left="100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743"/>
        </w:tabs>
        <w:ind w:left="107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1463"/>
        </w:tabs>
        <w:ind w:left="114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2183"/>
        </w:tabs>
        <w:ind w:left="121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903"/>
        </w:tabs>
        <w:ind w:left="129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3623"/>
        </w:tabs>
        <w:ind w:left="136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4343"/>
        </w:tabs>
        <w:ind w:left="14343" w:hanging="180"/>
      </w:pPr>
      <w:rPr>
        <w:rFonts w:cs="Times New Roman"/>
      </w:rPr>
    </w:lvl>
  </w:abstractNum>
  <w:abstractNum w:abstractNumId="29">
    <w:nsid w:val="785B1895"/>
    <w:multiLevelType w:val="hybridMultilevel"/>
    <w:tmpl w:val="D3DACBB0"/>
    <w:lvl w:ilvl="0" w:tplc="4C3275C0">
      <w:start w:val="1"/>
      <w:numFmt w:val="decimal"/>
      <w:lvlText w:val="11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BB0EFC"/>
    <w:multiLevelType w:val="hybridMultilevel"/>
    <w:tmpl w:val="38660834"/>
    <w:lvl w:ilvl="0" w:tplc="0DDE7B7E">
      <w:start w:val="1"/>
      <w:numFmt w:val="decimal"/>
      <w:lvlText w:val="9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30"/>
  </w:num>
  <w:num w:numId="4">
    <w:abstractNumId w:val="29"/>
  </w:num>
  <w:num w:numId="5">
    <w:abstractNumId w:val="5"/>
  </w:num>
  <w:num w:numId="6">
    <w:abstractNumId w:val="13"/>
  </w:num>
  <w:num w:numId="7">
    <w:abstractNumId w:val="18"/>
  </w:num>
  <w:num w:numId="8">
    <w:abstractNumId w:val="18"/>
    <w:lvlOverride w:ilvl="0">
      <w:lvl w:ilvl="0">
        <w:start w:val="1"/>
        <w:numFmt w:val="decimal"/>
        <w:lvlText w:val="5.2.%1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7"/>
  </w:num>
  <w:num w:numId="11">
    <w:abstractNumId w:val="21"/>
  </w:num>
  <w:num w:numId="12">
    <w:abstractNumId w:val="9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5"/>
  </w:num>
  <w:num w:numId="18">
    <w:abstractNumId w:val="7"/>
  </w:num>
  <w:num w:numId="19">
    <w:abstractNumId w:val="20"/>
  </w:num>
  <w:num w:numId="20">
    <w:abstractNumId w:val="0"/>
  </w:num>
  <w:num w:numId="21">
    <w:abstractNumId w:val="12"/>
  </w:num>
  <w:num w:numId="22">
    <w:abstractNumId w:val="26"/>
  </w:num>
  <w:num w:numId="23">
    <w:abstractNumId w:val="11"/>
  </w:num>
  <w:num w:numId="24">
    <w:abstractNumId w:val="28"/>
  </w:num>
  <w:num w:numId="2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3"/>
  </w:num>
  <w:num w:numId="28">
    <w:abstractNumId w:val="19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CB"/>
    <w:rsid w:val="00092D8F"/>
    <w:rsid w:val="0013064E"/>
    <w:rsid w:val="00183CCB"/>
    <w:rsid w:val="001C1D95"/>
    <w:rsid w:val="001F2C08"/>
    <w:rsid w:val="0024639E"/>
    <w:rsid w:val="002C4DF5"/>
    <w:rsid w:val="002F0D92"/>
    <w:rsid w:val="00302C21"/>
    <w:rsid w:val="005A1688"/>
    <w:rsid w:val="005E2683"/>
    <w:rsid w:val="00706490"/>
    <w:rsid w:val="007701F0"/>
    <w:rsid w:val="00853A05"/>
    <w:rsid w:val="00853A3A"/>
    <w:rsid w:val="0098517E"/>
    <w:rsid w:val="00A1111B"/>
    <w:rsid w:val="00B34394"/>
    <w:rsid w:val="00B63CC4"/>
    <w:rsid w:val="00BB5062"/>
    <w:rsid w:val="00BD318B"/>
    <w:rsid w:val="00D10384"/>
    <w:rsid w:val="00D84250"/>
    <w:rsid w:val="00D91F91"/>
    <w:rsid w:val="00F5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55511"/>
    <w:pPr>
      <w:keepNext/>
      <w:spacing w:after="0" w:line="240" w:lineRule="auto"/>
      <w:ind w:left="-108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rsid w:val="001C1D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1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55511"/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55511"/>
    <w:pPr>
      <w:keepNext/>
      <w:spacing w:after="0" w:line="240" w:lineRule="auto"/>
      <w:ind w:left="-108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rsid w:val="001C1D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1D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55511"/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21</cp:revision>
  <cp:lastPrinted>2014-12-01T12:21:00Z</cp:lastPrinted>
  <dcterms:created xsi:type="dcterms:W3CDTF">2014-10-23T04:40:00Z</dcterms:created>
  <dcterms:modified xsi:type="dcterms:W3CDTF">2014-12-24T09:09:00Z</dcterms:modified>
</cp:coreProperties>
</file>