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6C" w:rsidRPr="000127F9" w:rsidRDefault="00A71E6C" w:rsidP="00A71E6C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A71E6C" w:rsidRPr="000127F9" w:rsidRDefault="00A71E6C" w:rsidP="00A71E6C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УТВЕРЖДЕНО</w:t>
            </w:r>
          </w:p>
        </w:tc>
      </w:tr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82556E">
            <w:pPr>
              <w:jc w:val="both"/>
            </w:pPr>
            <w:r w:rsidRPr="000127F9">
              <w:t>Протокол  № ___</w:t>
            </w:r>
            <w:r w:rsidR="0082556E">
              <w:rPr>
                <w:u w:val="single"/>
                <w:lang w:val="en-US"/>
              </w:rPr>
              <w:t>498</w:t>
            </w:r>
            <w:r w:rsidRPr="000127F9">
              <w:t>_______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82556E">
            <w:pPr>
              <w:jc w:val="both"/>
            </w:pPr>
            <w:r w:rsidRPr="000127F9">
              <w:t>«_</w:t>
            </w:r>
            <w:r w:rsidR="0082556E">
              <w:rPr>
                <w:u w:val="single"/>
                <w:lang w:val="en-US"/>
              </w:rPr>
              <w:t>29</w:t>
            </w:r>
            <w:r w:rsidRPr="000127F9">
              <w:t xml:space="preserve">_» </w:t>
            </w:r>
            <w:proofErr w:type="spellStart"/>
            <w:r w:rsidRPr="000127F9">
              <w:t>__</w:t>
            </w:r>
            <w:r w:rsidR="0082556E">
              <w:rPr>
                <w:u w:val="single"/>
              </w:rPr>
              <w:t>декабря</w:t>
            </w:r>
            <w:proofErr w:type="spellEnd"/>
            <w:r w:rsidRPr="000127F9">
              <w:t>_  _</w:t>
            </w:r>
            <w:r w:rsidR="0082556E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A71E6C" w:rsidRPr="000127F9" w:rsidRDefault="00A71E6C" w:rsidP="00A71E6C">
      <w:pPr>
        <w:jc w:val="both"/>
        <w:rPr>
          <w:b/>
          <w:vanish/>
        </w:rPr>
      </w:pPr>
    </w:p>
    <w:p w:rsidR="00A71E6C" w:rsidRPr="001C558D" w:rsidRDefault="00A71E6C" w:rsidP="00A71E6C"/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  <w:r>
        <w:rPr>
          <w:b/>
        </w:rPr>
        <w:t>ПДО №946/</w:t>
      </w:r>
      <w:r w:rsidRPr="00E61BBD">
        <w:rPr>
          <w:b/>
        </w:rPr>
        <w:t>ТК/201</w:t>
      </w:r>
      <w:r>
        <w:rPr>
          <w:b/>
        </w:rPr>
        <w:t>4</w:t>
      </w:r>
      <w:r w:rsidRPr="00E61BBD">
        <w:rPr>
          <w:b/>
        </w:rPr>
        <w:t xml:space="preserve"> от </w:t>
      </w:r>
      <w:r>
        <w:rPr>
          <w:b/>
        </w:rPr>
        <w:t>«</w:t>
      </w:r>
      <w:r w:rsidR="0082556E">
        <w:rPr>
          <w:b/>
        </w:rPr>
        <w:t>29</w:t>
      </w:r>
      <w:r>
        <w:rPr>
          <w:b/>
        </w:rPr>
        <w:t>»</w:t>
      </w:r>
      <w:r w:rsidR="0082556E">
        <w:rPr>
          <w:b/>
        </w:rPr>
        <w:t xml:space="preserve"> декабря</w:t>
      </w:r>
      <w:r>
        <w:rPr>
          <w:b/>
        </w:rPr>
        <w:t xml:space="preserve">  2014г</w:t>
      </w:r>
      <w:r w:rsidRPr="005A0C17">
        <w:rPr>
          <w:b/>
        </w:rPr>
        <w:t>.</w:t>
      </w: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/>
    <w:p w:rsidR="00A71E6C" w:rsidRPr="005A0C17" w:rsidRDefault="00A71E6C" w:rsidP="00A71E6C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</w:p>
    <w:p w:rsidR="00A71E6C" w:rsidRPr="005A0C17" w:rsidRDefault="00A71E6C" w:rsidP="00A71E6C">
      <w:pPr>
        <w:jc w:val="both"/>
      </w:pPr>
    </w:p>
    <w:p w:rsidR="00A71E6C" w:rsidRPr="005A0C17" w:rsidRDefault="00A71E6C" w:rsidP="00A71E6C">
      <w:pPr>
        <w:jc w:val="both"/>
      </w:pPr>
    </w:p>
    <w:p w:rsidR="00A71E6C" w:rsidRPr="005A0C17" w:rsidRDefault="00A71E6C" w:rsidP="00A71E6C">
      <w:pPr>
        <w:ind w:firstLine="720"/>
        <w:jc w:val="both"/>
        <w:rPr>
          <w:b/>
        </w:rPr>
      </w:pPr>
      <w:r w:rsidRPr="005A0C17">
        <w:rPr>
          <w:b/>
        </w:rPr>
        <w:t>ОАО «СН-МНГ»</w:t>
      </w:r>
      <w:r w:rsidRPr="005A0C17">
        <w:t xml:space="preserve"> приглашает вас сделать предложение (оферту) на выполнение работ по </w:t>
      </w:r>
      <w:r w:rsidRPr="005A0C17">
        <w:rPr>
          <w:b/>
        </w:rPr>
        <w:t xml:space="preserve">типу сделки </w:t>
      </w:r>
      <w:r>
        <w:rPr>
          <w:b/>
        </w:rPr>
        <w:t xml:space="preserve">213 </w:t>
      </w:r>
      <w:r w:rsidRPr="005A0C17">
        <w:rPr>
          <w:b/>
        </w:rPr>
        <w:t>«</w:t>
      </w:r>
      <w:r w:rsidRPr="0053797C">
        <w:rPr>
          <w:b/>
        </w:rPr>
        <w:t>Консультационные услуги и иссле</w:t>
      </w:r>
      <w:r>
        <w:rPr>
          <w:b/>
        </w:rPr>
        <w:t>дования в области бурения и ЗБС</w:t>
      </w:r>
      <w:r w:rsidRPr="005A0C17">
        <w:rPr>
          <w:b/>
        </w:rPr>
        <w:t>»</w:t>
      </w:r>
      <w:r w:rsidRPr="00C93FB6">
        <w:t xml:space="preserve"> </w:t>
      </w:r>
      <w:r w:rsidRPr="005A0C17">
        <w:t>на месторождениях ОАО «СН-МНГ»</w:t>
      </w:r>
      <w:r w:rsidRPr="005A0C17">
        <w:rPr>
          <w:b/>
        </w:rPr>
        <w:t>.</w:t>
      </w:r>
    </w:p>
    <w:p w:rsidR="00A71E6C" w:rsidRPr="005A0C17" w:rsidRDefault="00A71E6C" w:rsidP="00A71E6C">
      <w:pPr>
        <w:jc w:val="both"/>
      </w:pPr>
    </w:p>
    <w:p w:rsidR="00A71E6C" w:rsidRDefault="00A71E6C" w:rsidP="00A71E6C">
      <w:pPr>
        <w:ind w:firstLine="720"/>
        <w:jc w:val="both"/>
      </w:pPr>
      <w:r w:rsidRPr="005A0C17">
        <w:t>По результатам рассмотрения предложений ОАО «СН-МНГ»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 xml:space="preserve">) будет заключен договор на выполнение работ. Предпочтение при отборе будет отдано контрагентам, предложившим наилучшие условия в соответствии с </w:t>
      </w:r>
      <w:r w:rsidRPr="003009F8">
        <w:t>Формами 3, 4.</w:t>
      </w:r>
    </w:p>
    <w:p w:rsidR="00A71E6C" w:rsidRPr="000127F9" w:rsidRDefault="00A71E6C" w:rsidP="00A71E6C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A71E6C" w:rsidRDefault="00A71E6C" w:rsidP="00A71E6C">
      <w:pPr>
        <w:ind w:firstLine="720"/>
        <w:jc w:val="both"/>
      </w:pPr>
      <w:r w:rsidRPr="005A0C17"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A71E6C" w:rsidRPr="001A0905" w:rsidRDefault="00A71E6C" w:rsidP="00A71E6C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A71E6C" w:rsidRPr="005A0C17" w:rsidRDefault="00A71E6C" w:rsidP="00A71E6C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>
        <w:t>05</w:t>
      </w:r>
      <w:r w:rsidRPr="005A0C17">
        <w:t>.201</w:t>
      </w:r>
      <w:r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A71E6C" w:rsidRPr="005A0C17" w:rsidRDefault="00A71E6C" w:rsidP="00A71E6C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A71E6C" w:rsidRPr="005A0C17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A71E6C" w:rsidRPr="005A0C17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1E6C" w:rsidRPr="000B2ACB" w:rsidRDefault="00A71E6C" w:rsidP="00A71E6C">
      <w:pPr>
        <w:numPr>
          <w:ilvl w:val="0"/>
          <w:numId w:val="1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№213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A71E6C" w:rsidRPr="000B2ACB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оформленный и подписанный со стороны контрагента договор на выполнение </w:t>
      </w:r>
      <w:r w:rsidRPr="000B2ACB">
        <w:t>работ с приложениями по форме 6;</w:t>
      </w:r>
    </w:p>
    <w:p w:rsidR="00A71E6C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r w:rsidRPr="000B2ACB">
        <w:t>перечень аффилированных организаций (Форма 7);</w:t>
      </w:r>
    </w:p>
    <w:p w:rsidR="00A71E6C" w:rsidRPr="00F4555A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A71E6C" w:rsidRPr="00556572" w:rsidRDefault="00A71E6C" w:rsidP="00A71E6C">
      <w:pPr>
        <w:numPr>
          <w:ilvl w:val="0"/>
          <w:numId w:val="1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технической оценки оферт участников закупки </w:t>
      </w:r>
      <w:r w:rsidRPr="00F4555A">
        <w:t>на оказание услуг по Геологическому сопровождению (</w:t>
      </w:r>
      <w:proofErr w:type="spellStart"/>
      <w:r w:rsidRPr="00F4555A">
        <w:t>Геонавигация</w:t>
      </w:r>
      <w:proofErr w:type="spellEnd"/>
      <w:r w:rsidRPr="00F4555A">
        <w:t xml:space="preserve">) бурения горизонтальных скважин и </w:t>
      </w:r>
      <w:proofErr w:type="spellStart"/>
      <w:r w:rsidRPr="00F4555A">
        <w:t>зарезок</w:t>
      </w:r>
      <w:proofErr w:type="spellEnd"/>
      <w:r w:rsidRPr="00F4555A">
        <w:t xml:space="preserve"> боковых горизонтальных стволов</w:t>
      </w:r>
      <w:r>
        <w:t xml:space="preserve"> по типу сделки № 213</w:t>
      </w:r>
      <w:r w:rsidRPr="00D67B56">
        <w:t xml:space="preserve"> «</w:t>
      </w:r>
      <w:r w:rsidRPr="00F4555A">
        <w:t>Консультационные услуги и исследования в области бурения и ЗБС</w:t>
      </w:r>
      <w:r w:rsidRPr="00D67B56">
        <w:t xml:space="preserve">» </w:t>
      </w:r>
      <w:r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A71E6C" w:rsidRPr="00D67B56" w:rsidRDefault="00A71E6C" w:rsidP="00A71E6C">
      <w:pPr>
        <w:jc w:val="both"/>
      </w:pPr>
    </w:p>
    <w:p w:rsidR="00A71E6C" w:rsidRPr="0004243A" w:rsidRDefault="00A71E6C" w:rsidP="00A71E6C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A71E6C" w:rsidRPr="000127F9" w:rsidRDefault="00A71E6C" w:rsidP="00A71E6C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A71E6C" w:rsidRPr="00D302C2" w:rsidRDefault="00A71E6C" w:rsidP="00A71E6C">
      <w:pPr>
        <w:ind w:firstLine="708"/>
        <w:jc w:val="both"/>
        <w:rPr>
          <w:sz w:val="10"/>
          <w:szCs w:val="10"/>
        </w:rPr>
      </w:pP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 w:rsidR="0082556E">
        <w:rPr>
          <w:b/>
        </w:rPr>
        <w:t>29</w:t>
      </w:r>
      <w:r>
        <w:rPr>
          <w:b/>
        </w:rPr>
        <w:t xml:space="preserve"> </w:t>
      </w:r>
      <w:r w:rsidRPr="009C58FF">
        <w:rPr>
          <w:b/>
        </w:rPr>
        <w:t xml:space="preserve">» </w:t>
      </w:r>
      <w:r w:rsidR="0082556E">
        <w:rPr>
          <w:b/>
        </w:rPr>
        <w:t>декабря</w:t>
      </w:r>
      <w:r>
        <w:rPr>
          <w:b/>
        </w:rPr>
        <w:t xml:space="preserve"> </w:t>
      </w:r>
      <w:r w:rsidRPr="009C58FF">
        <w:rPr>
          <w:b/>
        </w:rPr>
        <w:t>2014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</w:t>
      </w:r>
      <w:r w:rsidR="0082556E">
        <w:rPr>
          <w:b/>
        </w:rPr>
        <w:t>20</w:t>
      </w:r>
      <w:r w:rsidRPr="009C58FF">
        <w:rPr>
          <w:b/>
        </w:rPr>
        <w:t xml:space="preserve">» </w:t>
      </w:r>
      <w:r w:rsidR="0082556E">
        <w:rPr>
          <w:b/>
        </w:rPr>
        <w:t>января</w:t>
      </w:r>
      <w:r>
        <w:rPr>
          <w:b/>
        </w:rPr>
        <w:t xml:space="preserve"> </w:t>
      </w:r>
      <w:r w:rsidRPr="009C58FF">
        <w:rPr>
          <w:b/>
        </w:rPr>
        <w:t xml:space="preserve"> 201</w:t>
      </w:r>
      <w:r w:rsidR="0082556E">
        <w:rPr>
          <w:b/>
        </w:rPr>
        <w:t>5</w:t>
      </w:r>
      <w:r w:rsidRPr="009C58FF">
        <w:rPr>
          <w:b/>
        </w:rPr>
        <w:t xml:space="preserve">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>
        <w:rPr>
          <w:b/>
        </w:rPr>
        <w:t>мая</w:t>
      </w:r>
      <w:r w:rsidRPr="009C58FF">
        <w:rPr>
          <w:b/>
        </w:rPr>
        <w:t xml:space="preserve"> 201</w:t>
      </w:r>
      <w:r>
        <w:rPr>
          <w:b/>
        </w:rPr>
        <w:t>5</w:t>
      </w:r>
      <w:r w:rsidRPr="009C58FF">
        <w:rPr>
          <w:b/>
        </w:rPr>
        <w:t xml:space="preserve"> года.</w:t>
      </w:r>
    </w:p>
    <w:p w:rsidR="00A71E6C" w:rsidRPr="00D302C2" w:rsidRDefault="00A71E6C" w:rsidP="00A71E6C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A71E6C" w:rsidRPr="00EB10D7" w:rsidRDefault="00A71E6C" w:rsidP="00A71E6C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71E6C" w:rsidRDefault="00A71E6C" w:rsidP="00A71E6C">
      <w:pPr>
        <w:spacing w:line="276" w:lineRule="auto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5" w:history="1">
        <w:r>
          <w:rPr>
            <w:rStyle w:val="a3"/>
            <w:b/>
          </w:rPr>
          <w:t>http://www.sn-mng.ru/supplier/</w:t>
        </w:r>
        <w:r w:rsidRPr="00181ED9">
          <w:rPr>
            <w:rStyle w:val="a3"/>
            <w:b/>
          </w:rPr>
          <w:t>procurement/</w:t>
        </w:r>
      </w:hyperlink>
      <w:r>
        <w:rPr>
          <w:rFonts w:eastAsia="Calibri"/>
          <w:color w:val="0000FF"/>
          <w:u w:val="single"/>
          <w:lang w:eastAsia="en-US"/>
        </w:rPr>
        <w:t>.</w:t>
      </w: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71E6C" w:rsidRPr="00D302C2" w:rsidRDefault="00A71E6C" w:rsidP="00A71E6C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A71E6C" w:rsidRPr="000509F7" w:rsidRDefault="00A71E6C" w:rsidP="00A71E6C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509F7">
        <w:rPr>
          <w:b/>
        </w:rPr>
        <w:t xml:space="preserve">«Предложение на № </w:t>
      </w:r>
      <w:r>
        <w:rPr>
          <w:b/>
        </w:rPr>
        <w:t>946</w:t>
      </w:r>
      <w:r w:rsidRPr="000509F7">
        <w:rPr>
          <w:b/>
        </w:rPr>
        <w:t xml:space="preserve">/ТК/2014 </w:t>
      </w:r>
      <w:r w:rsidRPr="00D67B56">
        <w:rPr>
          <w:b/>
        </w:rPr>
        <w:t>от «</w:t>
      </w:r>
      <w:r w:rsidR="0082556E">
        <w:rPr>
          <w:b/>
        </w:rPr>
        <w:t>29</w:t>
      </w:r>
      <w:r w:rsidRPr="00D67B56">
        <w:rPr>
          <w:b/>
        </w:rPr>
        <w:t>»</w:t>
      </w:r>
      <w:r w:rsidR="0082556E">
        <w:rPr>
          <w:b/>
        </w:rPr>
        <w:t xml:space="preserve"> декабря</w:t>
      </w:r>
      <w:r w:rsidRPr="00D67B56">
        <w:rPr>
          <w:b/>
        </w:rPr>
        <w:t xml:space="preserve">  2014г.</w:t>
      </w:r>
      <w:r w:rsidRPr="000509F7">
        <w:rPr>
          <w:b/>
        </w:rPr>
        <w:t>».</w:t>
      </w:r>
    </w:p>
    <w:p w:rsidR="00A71E6C" w:rsidRPr="001A0905" w:rsidRDefault="00A71E6C" w:rsidP="00A71E6C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A71E6C" w:rsidRDefault="00A71E6C" w:rsidP="00A71E6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A71E6C" w:rsidRDefault="00A71E6C" w:rsidP="00A71E6C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«Критериям технической оценки оферт участников закупки на оказание услуг по Геологическому сопровождению (</w:t>
      </w:r>
      <w:proofErr w:type="spellStart"/>
      <w:r w:rsidRPr="00F4555A">
        <w:t>Геонавигация</w:t>
      </w:r>
      <w:proofErr w:type="spellEnd"/>
      <w:r w:rsidRPr="00F4555A">
        <w:t xml:space="preserve">) бурения горизонтальных скважин и </w:t>
      </w:r>
      <w:proofErr w:type="spellStart"/>
      <w:r w:rsidRPr="00F4555A">
        <w:t>зарезок</w:t>
      </w:r>
      <w:proofErr w:type="spellEnd"/>
      <w:r w:rsidRPr="00F4555A">
        <w:t xml:space="preserve"> боковых горизонтальных стволов по типу сделки № 213 «Консультационные услуги и исследования в области бурения и ЗБС» </w:t>
      </w:r>
      <w:r w:rsidRPr="004D1CD2">
        <w:t>(Форма 9) с заполненной и подписанной анкетой соответствия критериям</w:t>
      </w:r>
      <w:proofErr w:type="gramEnd"/>
      <w:r w:rsidRPr="004D1CD2">
        <w:t xml:space="preserve">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A71E6C" w:rsidRPr="0028121C" w:rsidRDefault="00A71E6C" w:rsidP="00A71E6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A71E6C" w:rsidRDefault="00A71E6C" w:rsidP="00A71E6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 213</w:t>
      </w:r>
      <w:r w:rsidRPr="006936BF">
        <w:t xml:space="preserve"> 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A71E6C" w:rsidRPr="001510F2" w:rsidRDefault="00A71E6C" w:rsidP="00A71E6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конверте, с предоставлением оригинала карточки предприятия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A71E6C" w:rsidRPr="00D87386" w:rsidRDefault="00A71E6C" w:rsidP="00A71E6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A71E6C" w:rsidRPr="001A0905" w:rsidRDefault="00A71E6C" w:rsidP="00A71E6C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A71E6C" w:rsidRPr="000127F9" w:rsidRDefault="00A71E6C" w:rsidP="00A71E6C">
      <w:pPr>
        <w:jc w:val="both"/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A71E6C" w:rsidRPr="00702DC1" w:rsidRDefault="00A71E6C" w:rsidP="00A71E6C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71E6C" w:rsidRPr="000127F9" w:rsidRDefault="00A71E6C" w:rsidP="00A71E6C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="0082556E" w:rsidRPr="0082556E">
        <w:rPr>
          <w:b/>
          <w:u w:val="single"/>
        </w:rPr>
        <w:t>15</w:t>
      </w:r>
      <w:r w:rsidRPr="000127F9">
        <w:rPr>
          <w:b/>
        </w:rPr>
        <w:t xml:space="preserve">» </w:t>
      </w:r>
      <w:r w:rsidR="0082556E">
        <w:rPr>
          <w:b/>
        </w:rPr>
        <w:t>января</w:t>
      </w:r>
      <w:r>
        <w:rPr>
          <w:b/>
        </w:rPr>
        <w:t xml:space="preserve"> </w:t>
      </w:r>
      <w:r w:rsidRPr="000127F9">
        <w:rPr>
          <w:b/>
        </w:rPr>
        <w:t>201</w:t>
      </w:r>
      <w:r w:rsidR="0082556E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71E6C" w:rsidRPr="000127F9" w:rsidRDefault="00A71E6C" w:rsidP="00A71E6C">
      <w:pPr>
        <w:jc w:val="both"/>
        <w:rPr>
          <w:b/>
        </w:rPr>
      </w:pPr>
    </w:p>
    <w:p w:rsidR="00A71E6C" w:rsidRPr="005A0C17" w:rsidRDefault="00A71E6C" w:rsidP="00A71E6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A71E6C" w:rsidRPr="006936BF" w:rsidRDefault="00A71E6C" w:rsidP="00A71E6C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 xml:space="preserve">Начальник </w:t>
      </w:r>
      <w:r>
        <w:rPr>
          <w:rFonts w:eastAsia="Calibri"/>
        </w:rPr>
        <w:t>о</w:t>
      </w:r>
      <w:r w:rsidRPr="00F43122">
        <w:rPr>
          <w:rFonts w:eastAsia="Calibri"/>
        </w:rPr>
        <w:t>тдел</w:t>
      </w:r>
      <w:r>
        <w:rPr>
          <w:rFonts w:eastAsia="Calibri"/>
        </w:rPr>
        <w:t>а</w:t>
      </w:r>
      <w:r w:rsidRPr="00F43122">
        <w:rPr>
          <w:rFonts w:eastAsia="Calibri"/>
        </w:rPr>
        <w:t xml:space="preserve"> геологического сопровождения бурения и ЗБС</w:t>
      </w:r>
    </w:p>
    <w:p w:rsidR="00A71E6C" w:rsidRDefault="00A71E6C" w:rsidP="00A71E6C">
      <w:pPr>
        <w:ind w:firstLine="708"/>
        <w:jc w:val="both"/>
        <w:rPr>
          <w:rFonts w:eastAsia="Calibri"/>
        </w:rPr>
      </w:pPr>
      <w:proofErr w:type="spellStart"/>
      <w:r w:rsidRPr="00F43122">
        <w:rPr>
          <w:rFonts w:eastAsia="Calibri"/>
        </w:rPr>
        <w:t>Гиззатуллин</w:t>
      </w:r>
      <w:proofErr w:type="spellEnd"/>
      <w:r w:rsidRPr="00F43122">
        <w:rPr>
          <w:rFonts w:eastAsia="Calibri"/>
        </w:rPr>
        <w:t xml:space="preserve"> </w:t>
      </w:r>
      <w:proofErr w:type="spellStart"/>
      <w:r w:rsidRPr="00F43122">
        <w:rPr>
          <w:rFonts w:eastAsia="Calibri"/>
        </w:rPr>
        <w:t>Радик</w:t>
      </w:r>
      <w:proofErr w:type="spellEnd"/>
      <w:r w:rsidRPr="00F43122">
        <w:rPr>
          <w:rFonts w:eastAsia="Calibri"/>
        </w:rPr>
        <w:t xml:space="preserve"> </w:t>
      </w:r>
      <w:proofErr w:type="spellStart"/>
      <w:r w:rsidRPr="00F43122">
        <w:rPr>
          <w:rFonts w:eastAsia="Calibri"/>
        </w:rPr>
        <w:t>Аликович</w:t>
      </w:r>
      <w:proofErr w:type="spellEnd"/>
    </w:p>
    <w:p w:rsidR="00A71E6C" w:rsidRPr="006936BF" w:rsidRDefault="00A71E6C" w:rsidP="00A71E6C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46-610</w:t>
      </w:r>
      <w:r w:rsidRPr="006936BF">
        <w:rPr>
          <w:rFonts w:eastAsia="Calibri"/>
        </w:rPr>
        <w:t>,</w:t>
      </w:r>
      <w:r w:rsidRPr="006936BF">
        <w:rPr>
          <w:rFonts w:eastAsia="Calibri"/>
          <w:u w:val="single"/>
        </w:rPr>
        <w:t xml:space="preserve"> </w:t>
      </w:r>
      <w:hyperlink r:id="rId6" w:history="1">
        <w:r w:rsidRPr="00CA09CA">
          <w:rPr>
            <w:rStyle w:val="a3"/>
            <w:rFonts w:eastAsia="Calibri"/>
            <w:lang w:val="en-US"/>
          </w:rPr>
          <w:t>GizzatullinRA</w:t>
        </w:r>
        <w:r w:rsidRPr="00CA09CA">
          <w:rPr>
            <w:rStyle w:val="a3"/>
            <w:rFonts w:eastAsia="Calibri"/>
          </w:rPr>
          <w:t>@mng.slavneft.ru</w:t>
        </w:r>
      </w:hyperlink>
      <w:r w:rsidRPr="006936BF">
        <w:rPr>
          <w:rFonts w:eastAsia="Calibri"/>
          <w:u w:val="single"/>
        </w:rPr>
        <w:t>;</w:t>
      </w:r>
    </w:p>
    <w:p w:rsidR="00A71E6C" w:rsidRPr="006936BF" w:rsidRDefault="00A71E6C" w:rsidP="00A71E6C">
      <w:pPr>
        <w:ind w:firstLine="708"/>
        <w:jc w:val="both"/>
        <w:rPr>
          <w:rFonts w:eastAsia="Calibri"/>
        </w:rPr>
      </w:pPr>
    </w:p>
    <w:p w:rsidR="00A71E6C" w:rsidRPr="006936BF" w:rsidRDefault="00A5753E" w:rsidP="00A5753E">
      <w:pPr>
        <w:jc w:val="both"/>
        <w:rPr>
          <w:rFonts w:eastAsia="Calibri"/>
        </w:rPr>
      </w:pPr>
      <w:r>
        <w:rPr>
          <w:rFonts w:eastAsia="Calibri"/>
        </w:rPr>
        <w:t xml:space="preserve">           </w:t>
      </w:r>
      <w:r w:rsidR="00A71E6C" w:rsidRPr="006936BF">
        <w:rPr>
          <w:rFonts w:eastAsia="Calibri"/>
        </w:rPr>
        <w:t>Ведущий специалист ОЗУВР</w:t>
      </w:r>
    </w:p>
    <w:p w:rsidR="00A71E6C" w:rsidRPr="006936BF" w:rsidRDefault="00A71E6C" w:rsidP="00A71E6C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A71E6C" w:rsidRPr="00DA1C3D" w:rsidRDefault="00A71E6C" w:rsidP="00A71E6C">
      <w:pPr>
        <w:ind w:firstLine="708"/>
        <w:jc w:val="both"/>
        <w:rPr>
          <w:rStyle w:val="a3"/>
          <w:rFonts w:eastAsia="Calibri"/>
        </w:rPr>
      </w:pPr>
      <w:r w:rsidRPr="006936BF">
        <w:rPr>
          <w:rFonts w:eastAsia="Calibri"/>
        </w:rPr>
        <w:t>тел. (34643) 47-</w:t>
      </w:r>
      <w:r>
        <w:rPr>
          <w:rFonts w:eastAsia="Calibri"/>
        </w:rPr>
        <w:t>736</w:t>
      </w:r>
      <w:r w:rsidRPr="006936BF">
        <w:rPr>
          <w:rFonts w:eastAsia="Calibri"/>
        </w:rPr>
        <w:t xml:space="preserve">, </w:t>
      </w:r>
      <w:proofErr w:type="spellStart"/>
      <w:r w:rsidRPr="00A0094F">
        <w:rPr>
          <w:rStyle w:val="a3"/>
          <w:rFonts w:eastAsia="Calibri"/>
          <w:lang w:val="en-US"/>
        </w:rPr>
        <w:t>HolostovaAS</w:t>
      </w:r>
      <w:proofErr w:type="spellEnd"/>
      <w:r w:rsidRPr="00DA1C3D">
        <w:rPr>
          <w:rStyle w:val="a3"/>
          <w:rFonts w:eastAsia="Calibri"/>
        </w:rPr>
        <w:t xml:space="preserve">@ </w:t>
      </w:r>
      <w:proofErr w:type="spellStart"/>
      <w:r w:rsidRPr="00A0094F">
        <w:rPr>
          <w:rStyle w:val="a3"/>
          <w:rFonts w:eastAsia="Calibri"/>
          <w:lang w:val="en-US"/>
        </w:rPr>
        <w:t>mng</w:t>
      </w:r>
      <w:proofErr w:type="spellEnd"/>
      <w:r w:rsidRPr="00DA1C3D">
        <w:rPr>
          <w:rStyle w:val="a3"/>
          <w:rFonts w:eastAsia="Calibri"/>
        </w:rPr>
        <w:t>.</w:t>
      </w:r>
      <w:proofErr w:type="spellStart"/>
      <w:r w:rsidRPr="00A0094F">
        <w:rPr>
          <w:rStyle w:val="a3"/>
          <w:rFonts w:eastAsia="Calibri"/>
          <w:lang w:val="en-US"/>
        </w:rPr>
        <w:t>slavneft</w:t>
      </w:r>
      <w:proofErr w:type="spellEnd"/>
      <w:r w:rsidRPr="00DA1C3D">
        <w:rPr>
          <w:rStyle w:val="a3"/>
          <w:rFonts w:eastAsia="Calibri"/>
        </w:rPr>
        <w:t>.</w:t>
      </w:r>
      <w:proofErr w:type="spellStart"/>
      <w:r w:rsidRPr="00A0094F">
        <w:rPr>
          <w:rStyle w:val="a3"/>
          <w:rFonts w:eastAsia="Calibri"/>
        </w:rPr>
        <w:t>ru</w:t>
      </w:r>
      <w:proofErr w:type="spellEnd"/>
    </w:p>
    <w:p w:rsidR="00A71E6C" w:rsidRPr="006936BF" w:rsidRDefault="00A71E6C" w:rsidP="00A71E6C">
      <w:pPr>
        <w:ind w:firstLine="708"/>
        <w:jc w:val="both"/>
        <w:rPr>
          <w:rFonts w:eastAsia="Calibri"/>
          <w:b/>
        </w:rPr>
      </w:pPr>
    </w:p>
    <w:p w:rsidR="00A71E6C" w:rsidRPr="006936BF" w:rsidRDefault="00A71E6C" w:rsidP="00A71E6C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A71E6C" w:rsidRPr="006936BF" w:rsidRDefault="00A71E6C" w:rsidP="00A71E6C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A71E6C" w:rsidRDefault="00A71E6C" w:rsidP="00A71E6C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7" w:history="1">
        <w:r w:rsidRPr="00C96303">
          <w:rPr>
            <w:rStyle w:val="a3"/>
            <w:rFonts w:eastAsia="Calibri"/>
            <w:lang w:val="en-US"/>
          </w:rPr>
          <w:t>Tender</w:t>
        </w:r>
        <w:r w:rsidRPr="00C96303">
          <w:rPr>
            <w:rStyle w:val="a3"/>
            <w:rFonts w:eastAsia="Calibri"/>
          </w:rPr>
          <w:t>@</w:t>
        </w:r>
        <w:proofErr w:type="spellStart"/>
        <w:r w:rsidRPr="00C96303">
          <w:rPr>
            <w:rStyle w:val="a3"/>
            <w:rFonts w:eastAsia="Calibri"/>
            <w:lang w:val="en-US"/>
          </w:rPr>
          <w:t>mng</w:t>
        </w:r>
        <w:proofErr w:type="spellEnd"/>
        <w:r w:rsidRPr="00C96303">
          <w:rPr>
            <w:rStyle w:val="a3"/>
            <w:rFonts w:eastAsia="Calibri"/>
          </w:rPr>
          <w:t>.</w:t>
        </w:r>
        <w:proofErr w:type="spellStart"/>
        <w:r w:rsidRPr="00C96303">
          <w:rPr>
            <w:rStyle w:val="a3"/>
            <w:rFonts w:eastAsia="Calibri"/>
            <w:lang w:val="en-US"/>
          </w:rPr>
          <w:t>slavneft</w:t>
        </w:r>
        <w:proofErr w:type="spellEnd"/>
        <w:r w:rsidRPr="00C96303">
          <w:rPr>
            <w:rStyle w:val="a3"/>
            <w:rFonts w:eastAsia="Calibri"/>
          </w:rPr>
          <w:t>.</w:t>
        </w:r>
        <w:proofErr w:type="spellStart"/>
        <w:r w:rsidRPr="00C96303">
          <w:rPr>
            <w:rStyle w:val="a3"/>
            <w:rFonts w:eastAsia="Calibri"/>
            <w:lang w:val="en-US"/>
          </w:rPr>
          <w:t>ru</w:t>
        </w:r>
        <w:proofErr w:type="spellEnd"/>
      </w:hyperlink>
    </w:p>
    <w:p w:rsidR="00A71E6C" w:rsidRPr="006936BF" w:rsidRDefault="00A71E6C" w:rsidP="00A71E6C">
      <w:pPr>
        <w:ind w:firstLine="708"/>
        <w:jc w:val="both"/>
        <w:rPr>
          <w:rFonts w:eastAsia="Calibri"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8" w:history="1">
        <w:r w:rsidRPr="000127F9">
          <w:rPr>
            <w:rStyle w:val="a3"/>
          </w:rPr>
          <w:t>http://www.sn-mng.ru/supplier/tenders/</w:t>
        </w:r>
      </w:hyperlink>
      <w:r w:rsidRPr="000127F9">
        <w:t>.</w:t>
      </w:r>
    </w:p>
    <w:p w:rsidR="00A71E6C" w:rsidRDefault="00A71E6C" w:rsidP="00A71E6C">
      <w:pPr>
        <w:ind w:firstLine="708"/>
        <w:jc w:val="both"/>
        <w:rPr>
          <w:b/>
        </w:rPr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 xml:space="preserve">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71E6C" w:rsidRPr="00A0094F" w:rsidRDefault="00A71E6C" w:rsidP="00A71E6C">
      <w:pPr>
        <w:ind w:firstLine="708"/>
        <w:jc w:val="both"/>
        <w:rPr>
          <w:b/>
          <w:u w:val="single"/>
        </w:rPr>
      </w:pPr>
      <w:r w:rsidRPr="00A0094F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71E6C" w:rsidRPr="000127F9" w:rsidRDefault="00A71E6C" w:rsidP="00A71E6C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71E6C" w:rsidRDefault="00A71E6C" w:rsidP="00A71E6C">
      <w:pPr>
        <w:jc w:val="right"/>
        <w:rPr>
          <w:b/>
          <w:i/>
        </w:rPr>
      </w:pPr>
    </w:p>
    <w:p w:rsidR="00A71E6C" w:rsidRDefault="00A71E6C" w:rsidP="00A71E6C">
      <w:pPr>
        <w:jc w:val="right"/>
        <w:rPr>
          <w:b/>
          <w:i/>
        </w:rPr>
      </w:pPr>
    </w:p>
    <w:p w:rsidR="00A71E6C" w:rsidRPr="00C45FAC" w:rsidRDefault="00A71E6C" w:rsidP="00A71E6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A71E6C" w:rsidRPr="00C45FA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</w:p>
    <w:p w:rsidR="00A71E6C" w:rsidRPr="005A0C17" w:rsidRDefault="00A71E6C" w:rsidP="00A71E6C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A71E6C" w:rsidRPr="005A0C17" w:rsidRDefault="00A71E6C" w:rsidP="00A71E6C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A71E6C" w:rsidRPr="005A0C17" w:rsidRDefault="00A71E6C" w:rsidP="00A71E6C">
      <w:pPr>
        <w:rPr>
          <w:sz w:val="22"/>
          <w:szCs w:val="22"/>
        </w:rPr>
      </w:pPr>
    </w:p>
    <w:p w:rsidR="00A71E6C" w:rsidRPr="0046443B" w:rsidRDefault="00A71E6C" w:rsidP="00A71E6C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946</w:t>
      </w:r>
      <w:r w:rsidRPr="000A24D5">
        <w:rPr>
          <w:b/>
          <w:sz w:val="22"/>
          <w:szCs w:val="22"/>
        </w:rPr>
        <w:t xml:space="preserve">/ТК/2014 </w:t>
      </w:r>
      <w:r w:rsidRPr="00D96FC8">
        <w:rPr>
          <w:b/>
          <w:sz w:val="22"/>
          <w:szCs w:val="22"/>
        </w:rPr>
        <w:t>от «</w:t>
      </w:r>
      <w:r w:rsidR="0082556E">
        <w:rPr>
          <w:b/>
          <w:sz w:val="22"/>
          <w:szCs w:val="22"/>
        </w:rPr>
        <w:t>29</w:t>
      </w:r>
      <w:r w:rsidRPr="00D96FC8">
        <w:rPr>
          <w:b/>
          <w:sz w:val="22"/>
          <w:szCs w:val="22"/>
        </w:rPr>
        <w:t>»</w:t>
      </w:r>
      <w:r w:rsidR="007E2520">
        <w:rPr>
          <w:b/>
          <w:sz w:val="22"/>
          <w:szCs w:val="22"/>
        </w:rPr>
        <w:t xml:space="preserve"> декабря</w:t>
      </w:r>
      <w:r w:rsidRPr="00D96FC8">
        <w:rPr>
          <w:b/>
          <w:sz w:val="22"/>
          <w:szCs w:val="22"/>
        </w:rPr>
        <w:t xml:space="preserve">  2014г.»</w:t>
      </w:r>
      <w:r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A71E6C" w:rsidRPr="006F7034" w:rsidRDefault="00A71E6C" w:rsidP="00A71E6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6F7034">
        <w:rPr>
          <w:sz w:val="22"/>
          <w:szCs w:val="22"/>
        </w:rPr>
        <w:t>(подпись)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>
        <w:rPr>
          <w:sz w:val="22"/>
          <w:szCs w:val="22"/>
        </w:rPr>
        <w:t>вный бухгалтер</w:t>
      </w:r>
      <w:r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A71E6C" w:rsidRPr="006F7034" w:rsidRDefault="00A71E6C" w:rsidP="00A71E6C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A71E6C" w:rsidRPr="006F7034" w:rsidRDefault="00A71E6C" w:rsidP="00A71E6C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A71E6C" w:rsidRDefault="00AC7B3B" w:rsidP="00A71E6C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A71E6C" w:rsidRPr="00D62FEA" w:rsidRDefault="00A71E6C" w:rsidP="00A71E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A71E6C" w:rsidRPr="00D62FEA" w:rsidRDefault="00A71E6C" w:rsidP="00A71E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A71E6C" w:rsidRPr="00D62FEA" w:rsidRDefault="00A71E6C" w:rsidP="00A71E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A71E6C" w:rsidRPr="00D62FEA" w:rsidRDefault="00A71E6C" w:rsidP="00A71E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A71E6C" w:rsidRPr="006F7034" w:rsidRDefault="00A71E6C" w:rsidP="00A71E6C">
      <w:pPr>
        <w:ind w:left="6120"/>
        <w:jc w:val="both"/>
        <w:rPr>
          <w:sz w:val="22"/>
          <w:szCs w:val="22"/>
        </w:rPr>
      </w:pPr>
    </w:p>
    <w:p w:rsidR="00A71E6C" w:rsidRPr="00D96FC8" w:rsidRDefault="00A71E6C" w:rsidP="00A71E6C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Pr="00A71753">
        <w:t xml:space="preserve"> </w:t>
      </w:r>
      <w:r w:rsidRPr="005F4391">
        <w:rPr>
          <w:b/>
          <w:sz w:val="22"/>
          <w:szCs w:val="22"/>
        </w:rPr>
        <w:t>на оказание услуг по геологическому сопровождению бурения (</w:t>
      </w:r>
      <w:proofErr w:type="spellStart"/>
      <w:r w:rsidRPr="005F4391">
        <w:rPr>
          <w:b/>
          <w:sz w:val="22"/>
          <w:szCs w:val="22"/>
        </w:rPr>
        <w:t>геонавигации</w:t>
      </w:r>
      <w:proofErr w:type="spellEnd"/>
      <w:r w:rsidRPr="005F4391">
        <w:rPr>
          <w:b/>
          <w:sz w:val="22"/>
          <w:szCs w:val="22"/>
        </w:rPr>
        <w:t xml:space="preserve">) горизонтальных стволов эксплуатационных скважин, горизонтальных стволов при </w:t>
      </w:r>
      <w:proofErr w:type="spellStart"/>
      <w:r w:rsidRPr="005F4391">
        <w:rPr>
          <w:b/>
          <w:sz w:val="22"/>
          <w:szCs w:val="22"/>
        </w:rPr>
        <w:t>зарезке</w:t>
      </w:r>
      <w:proofErr w:type="spellEnd"/>
      <w:r w:rsidRPr="005F4391">
        <w:rPr>
          <w:b/>
          <w:sz w:val="22"/>
          <w:szCs w:val="22"/>
        </w:rPr>
        <w:t xml:space="preserve"> боковых стволов (ЗБС)</w:t>
      </w:r>
      <w:r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A71E6C" w:rsidRPr="005719FC" w:rsidRDefault="00A71E6C" w:rsidP="00A71E6C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440CE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A71E6C" w:rsidRDefault="00A71E6C" w:rsidP="00717736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01.03.2015г. - 30.06.2015</w:t>
            </w:r>
            <w:r w:rsidRPr="00CD0821">
              <w:rPr>
                <w:szCs w:val="16"/>
              </w:rPr>
              <w:t>г.</w:t>
            </w:r>
          </w:p>
          <w:p w:rsidR="00A71E6C" w:rsidRPr="00440CE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8D40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8D40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440CE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440CE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A71E6C" w:rsidRPr="00440CE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F63D76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F63D76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E6C" w:rsidRPr="00F63D76" w:rsidRDefault="00A71E6C" w:rsidP="00A71E6C">
      <w:pPr>
        <w:pStyle w:val="a4"/>
        <w:rPr>
          <w:rFonts w:ascii="Times New Roman" w:hAnsi="Times New Roman"/>
          <w:sz w:val="24"/>
          <w:szCs w:val="24"/>
        </w:rPr>
      </w:pP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мая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A71E6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A71E6C" w:rsidRPr="006F7034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E2D60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6F7034">
        <w:rPr>
          <w:sz w:val="22"/>
          <w:szCs w:val="22"/>
        </w:rPr>
        <w:t>________________________________</w:t>
      </w:r>
    </w:p>
    <w:p w:rsidR="00A71E6C" w:rsidRDefault="00A71E6C" w:rsidP="00A71E6C">
      <w:pPr>
        <w:jc w:val="right"/>
        <w:rPr>
          <w:sz w:val="22"/>
          <w:szCs w:val="22"/>
        </w:rPr>
      </w:pPr>
    </w:p>
    <w:p w:rsidR="00A71E6C" w:rsidRDefault="00A71E6C" w:rsidP="00A71E6C">
      <w:pPr>
        <w:jc w:val="right"/>
      </w:pPr>
      <w:r>
        <w:lastRenderedPageBreak/>
        <w:t>Форма 5 «Техническое задание»</w:t>
      </w:r>
    </w:p>
    <w:p w:rsidR="00A71E6C" w:rsidRDefault="00A71E6C" w:rsidP="00A71E6C">
      <w:pPr>
        <w:jc w:val="right"/>
      </w:pPr>
      <w:r>
        <w:tab/>
      </w:r>
    </w:p>
    <w:p w:rsidR="00A71E6C" w:rsidRDefault="00A71E6C" w:rsidP="00A71E6C">
      <w:pPr>
        <w:jc w:val="right"/>
      </w:pPr>
      <w:r>
        <w:t>УТВЕРЖДЕНО</w:t>
      </w:r>
    </w:p>
    <w:p w:rsidR="00A71E6C" w:rsidRDefault="00A71E6C" w:rsidP="00A71E6C">
      <w:pPr>
        <w:jc w:val="right"/>
      </w:pPr>
      <w:r>
        <w:tab/>
        <w:t>решением Тендерной комиссии</w:t>
      </w:r>
    </w:p>
    <w:p w:rsidR="00A71E6C" w:rsidRDefault="00A71E6C" w:rsidP="00A71E6C">
      <w:pPr>
        <w:jc w:val="right"/>
      </w:pPr>
      <w:r>
        <w:tab/>
        <w:t>Протокол  № ___</w:t>
      </w:r>
      <w:r w:rsidR="007E2520">
        <w:rPr>
          <w:u w:val="single"/>
        </w:rPr>
        <w:t>498</w:t>
      </w:r>
      <w:r>
        <w:t>_______</w:t>
      </w:r>
    </w:p>
    <w:p w:rsidR="00A71E6C" w:rsidRDefault="00A71E6C" w:rsidP="00A71E6C">
      <w:pPr>
        <w:jc w:val="right"/>
      </w:pPr>
      <w:r>
        <w:tab/>
        <w:t>«</w:t>
      </w:r>
      <w:r w:rsidR="007E2520">
        <w:rPr>
          <w:u w:val="single"/>
        </w:rPr>
        <w:t>29</w:t>
      </w:r>
      <w:r>
        <w:t xml:space="preserve">» </w:t>
      </w:r>
      <w:r w:rsidR="007E2520">
        <w:t>декабря</w:t>
      </w:r>
      <w:r>
        <w:t xml:space="preserve">  2014г.</w:t>
      </w:r>
    </w:p>
    <w:p w:rsidR="00A71E6C" w:rsidRDefault="00A71E6C" w:rsidP="00A71E6C">
      <w:pPr>
        <w:jc w:val="right"/>
      </w:pPr>
    </w:p>
    <w:p w:rsidR="00A71E6C" w:rsidRPr="001C6BC8" w:rsidRDefault="00A71E6C" w:rsidP="00A71E6C">
      <w:pPr>
        <w:jc w:val="center"/>
        <w:rPr>
          <w:b/>
        </w:rPr>
      </w:pPr>
      <w:r w:rsidRPr="001C6BC8">
        <w:rPr>
          <w:b/>
        </w:rPr>
        <w:t>ТРЕБОВАНИЯ К ПРЕДМЕТУ ОФЕРТЫ</w:t>
      </w:r>
    </w:p>
    <w:p w:rsidR="00A71E6C" w:rsidRPr="001C6BC8" w:rsidRDefault="00A71E6C" w:rsidP="00A71E6C">
      <w:pPr>
        <w:jc w:val="center"/>
        <w:rPr>
          <w:b/>
        </w:rPr>
      </w:pPr>
      <w:r w:rsidRPr="001C6BC8">
        <w:rPr>
          <w:b/>
        </w:rPr>
        <w:t>(техническое задание)</w:t>
      </w:r>
    </w:p>
    <w:p w:rsidR="00B61059" w:rsidRPr="00D84250" w:rsidRDefault="00B61059" w:rsidP="00B61059">
      <w:pPr>
        <w:jc w:val="center"/>
        <w:rPr>
          <w:b/>
        </w:rPr>
      </w:pPr>
      <w:r w:rsidRPr="00D84250">
        <w:rPr>
          <w:b/>
        </w:rPr>
        <w:t>на оказание услуг по геологическому сопровождению бурения (</w:t>
      </w:r>
      <w:proofErr w:type="spellStart"/>
      <w:r w:rsidRPr="00D84250">
        <w:rPr>
          <w:b/>
        </w:rPr>
        <w:t>геонавигации</w:t>
      </w:r>
      <w:proofErr w:type="spellEnd"/>
      <w:r w:rsidRPr="00D84250">
        <w:rPr>
          <w:b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D84250">
        <w:rPr>
          <w:b/>
        </w:rPr>
        <w:t>зарезке</w:t>
      </w:r>
      <w:proofErr w:type="spellEnd"/>
      <w:r w:rsidRPr="00D84250">
        <w:rPr>
          <w:b/>
        </w:rPr>
        <w:t xml:space="preserve"> боковых стволов</w:t>
      </w:r>
      <w:r>
        <w:rPr>
          <w:b/>
        </w:rPr>
        <w:t xml:space="preserve"> (ЗБС)</w:t>
      </w:r>
    </w:p>
    <w:p w:rsidR="00A71E6C" w:rsidRDefault="00A71E6C" w:rsidP="00A71E6C">
      <w:pPr>
        <w:jc w:val="both"/>
      </w:pPr>
      <w:r w:rsidRPr="001C6BC8">
        <w:rPr>
          <w:i/>
        </w:rPr>
        <w:t>1.Общие положения</w:t>
      </w:r>
      <w:r>
        <w:t xml:space="preserve">. </w:t>
      </w:r>
    </w:p>
    <w:p w:rsidR="00A71E6C" w:rsidRDefault="00A71E6C" w:rsidP="00A71E6C">
      <w:pPr>
        <w:jc w:val="both"/>
      </w:pPr>
      <w:r>
        <w:t>•</w:t>
      </w:r>
      <w:r>
        <w:tab/>
        <w:t>Оказание услуг по геологическому сопровождению бурения (</w:t>
      </w:r>
      <w:proofErr w:type="spellStart"/>
      <w:r>
        <w:t>геонавигации</w:t>
      </w:r>
      <w:proofErr w:type="spellEnd"/>
      <w:r>
        <w:t xml:space="preserve">) горизонтальных стволов  эксплуатационных  скважин, горизонтальных стволов при </w:t>
      </w:r>
      <w:proofErr w:type="spellStart"/>
      <w:r>
        <w:t>зарезке</w:t>
      </w:r>
      <w:proofErr w:type="spellEnd"/>
      <w:r>
        <w:t xml:space="preserve"> боковых стволов на месторождениях ОАО «СН-МНГ».</w:t>
      </w:r>
    </w:p>
    <w:p w:rsidR="00A71E6C" w:rsidRDefault="00A71E6C" w:rsidP="00A71E6C">
      <w:pPr>
        <w:jc w:val="both"/>
      </w:pPr>
      <w:r>
        <w:t>•</w:t>
      </w:r>
      <w:r>
        <w:tab/>
        <w:t>Департамент геологии и недропользования ОАО «СН-МНГ»;</w:t>
      </w:r>
    </w:p>
    <w:p w:rsidR="00A71E6C" w:rsidRDefault="00A71E6C" w:rsidP="00A71E6C">
      <w:pPr>
        <w:jc w:val="both"/>
      </w:pPr>
      <w:r>
        <w:t>•</w:t>
      </w:r>
      <w:r>
        <w:tab/>
        <w:t>Планируемые сроки оказания услуг 01.03.2015г. – 30.06.2015г.</w:t>
      </w:r>
    </w:p>
    <w:p w:rsidR="00A71E6C" w:rsidRDefault="00A71E6C" w:rsidP="00A71E6C">
      <w:pPr>
        <w:jc w:val="both"/>
      </w:pPr>
      <w:r>
        <w:t>•</w:t>
      </w:r>
      <w:r>
        <w:tab/>
        <w:t>Планируемый объём работ сопровождение 47 скважин</w:t>
      </w:r>
    </w:p>
    <w:p w:rsidR="00A71E6C" w:rsidRDefault="00A71E6C" w:rsidP="00A71E6C">
      <w:pPr>
        <w:jc w:val="both"/>
      </w:pPr>
      <w:r>
        <w:t>•</w:t>
      </w:r>
      <w:r>
        <w:tab/>
        <w:t xml:space="preserve">Договор не предусматривает наличие предоплаты. </w:t>
      </w:r>
    </w:p>
    <w:p w:rsidR="00A71E6C" w:rsidRDefault="00A71E6C" w:rsidP="00A71E6C">
      <w:pPr>
        <w:jc w:val="both"/>
      </w:pPr>
      <w:r>
        <w:t>•</w:t>
      </w:r>
      <w:r>
        <w:tab/>
        <w:t>Оплата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A71E6C" w:rsidRDefault="00A71E6C" w:rsidP="00A71E6C">
      <w:pPr>
        <w:jc w:val="both"/>
      </w:pPr>
    </w:p>
    <w:p w:rsidR="00A71E6C" w:rsidRPr="001C6BC8" w:rsidRDefault="00A71E6C" w:rsidP="00A71E6C">
      <w:pPr>
        <w:jc w:val="both"/>
        <w:rPr>
          <w:i/>
        </w:rPr>
      </w:pPr>
      <w:r w:rsidRPr="001C6BC8">
        <w:rPr>
          <w:i/>
        </w:rPr>
        <w:t xml:space="preserve">2. Основные требования к услугам.     </w:t>
      </w:r>
    </w:p>
    <w:p w:rsidR="00A71E6C" w:rsidRDefault="00A71E6C" w:rsidP="00A71E6C">
      <w:pPr>
        <w:jc w:val="both"/>
      </w:pPr>
      <w:r>
        <w:t>•</w:t>
      </w:r>
      <w:r>
        <w:tab/>
        <w:t>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:rsidR="00A71E6C" w:rsidRDefault="00A71E6C" w:rsidP="00A71E6C">
      <w:pPr>
        <w:jc w:val="both"/>
      </w:pPr>
      <w:r>
        <w:t>•</w:t>
      </w:r>
      <w:r>
        <w:tab/>
        <w:t>Геологическое сопровождение (</w:t>
      </w:r>
      <w:proofErr w:type="spellStart"/>
      <w:r>
        <w:t>Геонавигация</w:t>
      </w:r>
      <w:proofErr w:type="spellEnd"/>
      <w:r>
        <w:t>) бурения горизонтальных скважин, горизонтальных стволов должна осуществляться в программном компл</w:t>
      </w:r>
      <w:bookmarkStart w:id="0" w:name="_GoBack"/>
      <w:bookmarkEnd w:id="0"/>
      <w:r>
        <w:t>ексе (далее ПК)  с методом двумерного синтетического каротажа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>; и т.д.);</w:t>
      </w:r>
    </w:p>
    <w:p w:rsidR="00A71E6C" w:rsidRDefault="00A71E6C" w:rsidP="00A71E6C">
      <w:pPr>
        <w:jc w:val="both"/>
      </w:pPr>
      <w:r>
        <w:t>•</w:t>
      </w:r>
      <w:r>
        <w:tab/>
        <w:t>Все предложения и расчеты выполняются на созданных в процессе работы двумерных синтетических моделях.</w:t>
      </w:r>
    </w:p>
    <w:p w:rsidR="00A71E6C" w:rsidRDefault="00A71E6C" w:rsidP="00A71E6C">
      <w:pPr>
        <w:jc w:val="both"/>
      </w:pPr>
      <w:r>
        <w:t>•</w:t>
      </w:r>
      <w:r>
        <w:tab/>
        <w:t>Работа должна быть оформлена и представлена в виде окончательного отчета на бумажном носителе (2 экз.) и в электронном виде 1 экз. (CD или DVD диски).</w:t>
      </w:r>
    </w:p>
    <w:p w:rsidR="00A71E6C" w:rsidRDefault="00A71E6C" w:rsidP="00A71E6C">
      <w:pPr>
        <w:jc w:val="both"/>
      </w:pPr>
      <w:r>
        <w:t>•</w:t>
      </w:r>
      <w:r>
        <w:tab/>
        <w:t>Промежуточные этапы – в виде информационного отчета.</w:t>
      </w:r>
    </w:p>
    <w:p w:rsidR="00A71E6C" w:rsidRPr="001C6BC8" w:rsidRDefault="00A71E6C" w:rsidP="00A71E6C">
      <w:pPr>
        <w:jc w:val="both"/>
        <w:rPr>
          <w:i/>
        </w:rPr>
      </w:pPr>
    </w:p>
    <w:p w:rsidR="00A71E6C" w:rsidRPr="001C6BC8" w:rsidRDefault="00A71E6C" w:rsidP="00A71E6C">
      <w:pPr>
        <w:jc w:val="both"/>
        <w:rPr>
          <w:i/>
        </w:rPr>
      </w:pPr>
      <w:r w:rsidRPr="001C6BC8">
        <w:rPr>
          <w:i/>
        </w:rPr>
        <w:t xml:space="preserve">3. Основные требования к Контрагенту.  </w:t>
      </w:r>
    </w:p>
    <w:p w:rsidR="00A71E6C" w:rsidRDefault="00A71E6C" w:rsidP="00A71E6C">
      <w:pPr>
        <w:jc w:val="both"/>
      </w:pPr>
      <w:r>
        <w:t>• 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A71E6C" w:rsidRDefault="00A71E6C" w:rsidP="00A71E6C">
      <w:pPr>
        <w:jc w:val="both"/>
      </w:pPr>
      <w:r>
        <w:t>• Участник конкурса должен обладать необходимым для выполнения работы производственным и техническим потенциалом.</w:t>
      </w:r>
    </w:p>
    <w:p w:rsidR="00A71E6C" w:rsidRDefault="00A71E6C" w:rsidP="00A71E6C">
      <w:pPr>
        <w:jc w:val="both"/>
      </w:pPr>
      <w:r>
        <w:t>• Участник должен обладать специализированным программным комплексом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 xml:space="preserve">; и т.д.) </w:t>
      </w:r>
    </w:p>
    <w:p w:rsidR="00A71E6C" w:rsidRDefault="00A71E6C" w:rsidP="00A71E6C">
      <w:pPr>
        <w:jc w:val="both"/>
      </w:pPr>
      <w:r>
        <w:t>• Участник должен обладать опытом производства работ.</w:t>
      </w:r>
    </w:p>
    <w:p w:rsidR="00A71E6C" w:rsidRDefault="00A71E6C" w:rsidP="00A71E6C">
      <w:pPr>
        <w:jc w:val="both"/>
      </w:pPr>
      <w:r>
        <w:t xml:space="preserve">• 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A71E6C" w:rsidRPr="001C6BC8" w:rsidRDefault="00A71E6C" w:rsidP="00A71E6C">
      <w:pPr>
        <w:jc w:val="both"/>
        <w:rPr>
          <w:i/>
        </w:rPr>
      </w:pPr>
    </w:p>
    <w:p w:rsidR="00A71E6C" w:rsidRPr="001C6BC8" w:rsidRDefault="00A71E6C" w:rsidP="00A71E6C">
      <w:pPr>
        <w:jc w:val="both"/>
        <w:rPr>
          <w:i/>
        </w:rPr>
      </w:pPr>
      <w:r w:rsidRPr="001C6BC8">
        <w:rPr>
          <w:i/>
        </w:rPr>
        <w:lastRenderedPageBreak/>
        <w:t xml:space="preserve">4. Условия оказания услуг. </w:t>
      </w:r>
    </w:p>
    <w:p w:rsidR="00A71E6C" w:rsidRDefault="001C6BC8" w:rsidP="00A71E6C">
      <w:pPr>
        <w:jc w:val="both"/>
      </w:pPr>
      <w:r>
        <w:rPr>
          <w:b/>
        </w:rPr>
        <w:t xml:space="preserve">        </w:t>
      </w:r>
      <w:r w:rsidR="00A71E6C" w:rsidRPr="001C6BC8">
        <w:rPr>
          <w:b/>
        </w:rPr>
        <w:t>1. Целевое назначение работы.</w:t>
      </w:r>
      <w:r w:rsidR="00A71E6C">
        <w:t xml:space="preserve"> </w:t>
      </w:r>
      <w:r>
        <w:t xml:space="preserve"> </w:t>
      </w:r>
      <w:r w:rsidR="00A71E6C">
        <w:t xml:space="preserve">Проводка горизонтальных скважин, горизонтальных </w:t>
      </w:r>
      <w:proofErr w:type="spellStart"/>
      <w:r w:rsidR="00A71E6C">
        <w:t>зарезок</w:t>
      </w:r>
      <w:proofErr w:type="spellEnd"/>
      <w:r w:rsidR="00A71E6C">
        <w:t xml:space="preserve"> боковых стволов согласно геологическим задачам по средствам корректировок траекторий в режиме реального времени (24часа в сутки/7дней в неделю) в зависимости от геологической обстановки в районе бурения на основе данных бурения получаемых от подрядчика по телеметрии и ГТИ на месторождениях ОАО «СН-МНГ».</w:t>
      </w:r>
    </w:p>
    <w:p w:rsidR="00A71E6C" w:rsidRDefault="001C6BC8" w:rsidP="00A71E6C">
      <w:pPr>
        <w:jc w:val="both"/>
      </w:pPr>
      <w:r>
        <w:t xml:space="preserve">       </w:t>
      </w:r>
      <w:r w:rsidR="00A71E6C">
        <w:t xml:space="preserve">Услуги включают в себя: построение 2D модели </w:t>
      </w:r>
      <w:proofErr w:type="spellStart"/>
      <w:r w:rsidR="00A71E6C">
        <w:t>геонавигации</w:t>
      </w:r>
      <w:proofErr w:type="spellEnd"/>
      <w:r w:rsidR="00A71E6C">
        <w:t xml:space="preserve"> проводки горизонтального ствола в продуктивном горизонте;  круглосуточный анализ данных ГИС получаемых в процессе бурения; оперативную выдачу рекомендаций по изменению траектории бурения горизонтальных стволов в наилучших зонах продуктивных пластов; оценку качества и эффективности проводки горизонтальных скважин</w:t>
      </w:r>
    </w:p>
    <w:p w:rsidR="00A71E6C" w:rsidRDefault="001C6BC8" w:rsidP="00A71E6C">
      <w:pPr>
        <w:jc w:val="both"/>
      </w:pPr>
      <w:r>
        <w:t xml:space="preserve">        </w:t>
      </w:r>
      <w:r w:rsidRPr="001C6BC8">
        <w:rPr>
          <w:b/>
        </w:rPr>
        <w:t xml:space="preserve"> </w:t>
      </w:r>
      <w:r w:rsidR="00A71E6C" w:rsidRPr="001C6BC8">
        <w:rPr>
          <w:b/>
        </w:rPr>
        <w:t xml:space="preserve">2. Основание для постановки задачи: </w:t>
      </w:r>
      <w:r w:rsidR="00A71E6C">
        <w:t xml:space="preserve">Достижение целей и выполнение геологических задач, возложенных на скважину, путем оперативного изменения траектории горизонтальной скважины, горизонтальной </w:t>
      </w:r>
      <w:proofErr w:type="spellStart"/>
      <w:r w:rsidR="00A71E6C">
        <w:t>зарезок</w:t>
      </w:r>
      <w:proofErr w:type="spellEnd"/>
      <w:r w:rsidR="00A71E6C">
        <w:t xml:space="preserve"> боковых стволов во время бурения в зависимости от геологических условий.</w:t>
      </w:r>
    </w:p>
    <w:p w:rsidR="00A71E6C" w:rsidRPr="001C6BC8" w:rsidRDefault="001C6BC8" w:rsidP="00A71E6C">
      <w:pPr>
        <w:jc w:val="both"/>
        <w:rPr>
          <w:b/>
        </w:rPr>
      </w:pPr>
      <w:r w:rsidRPr="001C6BC8">
        <w:rPr>
          <w:b/>
        </w:rPr>
        <w:t xml:space="preserve">         </w:t>
      </w:r>
      <w:r w:rsidR="00A71E6C" w:rsidRPr="001C6BC8">
        <w:rPr>
          <w:b/>
        </w:rPr>
        <w:t xml:space="preserve">3. Объекты исследования. </w:t>
      </w:r>
    </w:p>
    <w:p w:rsidR="00A71E6C" w:rsidRDefault="00A71E6C" w:rsidP="00A71E6C">
      <w:pPr>
        <w:jc w:val="both"/>
      </w:pPr>
      <w:r>
        <w:t xml:space="preserve">Объектом исследования являются все продуктивные объекты для бурения горизонтальных скважин, горизонтальных </w:t>
      </w:r>
      <w:proofErr w:type="spellStart"/>
      <w:r>
        <w:t>зарезок</w:t>
      </w:r>
      <w:proofErr w:type="spellEnd"/>
      <w:r>
        <w:t xml:space="preserve"> боковых стволов на месторождениях ОАО «СН-МНГ». </w:t>
      </w:r>
    </w:p>
    <w:p w:rsidR="00A71E6C" w:rsidRPr="001C6BC8" w:rsidRDefault="001C6BC8" w:rsidP="00A71E6C">
      <w:pPr>
        <w:jc w:val="both"/>
        <w:rPr>
          <w:b/>
        </w:rPr>
      </w:pPr>
      <w:r w:rsidRPr="001C6BC8">
        <w:rPr>
          <w:b/>
        </w:rPr>
        <w:t xml:space="preserve">         </w:t>
      </w:r>
      <w:r w:rsidR="00A71E6C" w:rsidRPr="001C6BC8">
        <w:rPr>
          <w:b/>
        </w:rPr>
        <w:t xml:space="preserve">4. Основные требования к работе: </w:t>
      </w:r>
    </w:p>
    <w:p w:rsidR="00A71E6C" w:rsidRDefault="00A71E6C" w:rsidP="00A71E6C">
      <w:pPr>
        <w:jc w:val="both"/>
      </w:pPr>
      <w:r>
        <w:t>Работа выполняется для ОАО «</w:t>
      </w:r>
      <w:proofErr w:type="spellStart"/>
      <w:r>
        <w:t>Славнефть-Мегионнефтегаз</w:t>
      </w:r>
      <w:proofErr w:type="spellEnd"/>
      <w:r>
        <w:t xml:space="preserve">», </w:t>
      </w:r>
      <w:proofErr w:type="gramStart"/>
      <w:r>
        <w:t>согласно</w:t>
      </w:r>
      <w:proofErr w:type="gramEnd"/>
      <w:r>
        <w:t xml:space="preserve"> утверждённой программы на оказание услуг (приложение к лоту). Осуществляется геологическое сопровождение бурения горизонтальных скважин, горизонтальных </w:t>
      </w:r>
      <w:proofErr w:type="spellStart"/>
      <w:r>
        <w:t>зарезок</w:t>
      </w:r>
      <w:proofErr w:type="spellEnd"/>
      <w:r>
        <w:t xml:space="preserve"> боковых стволов на месторождениях ОАО «СН-МНГ» с целью достижения максимальной эффективности проводки горизонтального участка по коллектору. </w:t>
      </w:r>
    </w:p>
    <w:p w:rsidR="00A71E6C" w:rsidRDefault="00A71E6C" w:rsidP="00A71E6C">
      <w:pPr>
        <w:jc w:val="both"/>
      </w:pPr>
    </w:p>
    <w:p w:rsidR="00A71E6C" w:rsidRPr="001C6BC8" w:rsidRDefault="00A71E6C" w:rsidP="00A71E6C">
      <w:pPr>
        <w:jc w:val="both"/>
        <w:rPr>
          <w:b/>
          <w:u w:val="single"/>
        </w:rPr>
      </w:pPr>
      <w:r w:rsidRPr="001C6BC8">
        <w:rPr>
          <w:b/>
          <w:u w:val="single"/>
        </w:rPr>
        <w:t>Работа должна содержать:</w:t>
      </w:r>
    </w:p>
    <w:p w:rsidR="00A71E6C" w:rsidRDefault="00A71E6C" w:rsidP="00A71E6C">
      <w:pPr>
        <w:jc w:val="both"/>
      </w:pPr>
      <w:r>
        <w:t>В рамках предоставляемых услуг Исполнитель производит следующие работы: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>1.</w:t>
      </w:r>
      <w:r>
        <w:tab/>
      </w:r>
      <w:r w:rsidRPr="001C6BC8">
        <w:rPr>
          <w:b/>
        </w:rPr>
        <w:t>Получает перечень скважин подлежащих  геологическому сопровождению бурения (</w:t>
      </w:r>
      <w:proofErr w:type="spellStart"/>
      <w:r w:rsidRPr="001C6BC8">
        <w:rPr>
          <w:b/>
        </w:rPr>
        <w:t>геонавигации</w:t>
      </w:r>
      <w:proofErr w:type="spellEnd"/>
      <w:r w:rsidRPr="001C6BC8">
        <w:rPr>
          <w:b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1C6BC8">
        <w:rPr>
          <w:b/>
        </w:rPr>
        <w:t>зарезке</w:t>
      </w:r>
      <w:proofErr w:type="spellEnd"/>
      <w:r w:rsidRPr="001C6BC8">
        <w:rPr>
          <w:b/>
        </w:rPr>
        <w:t xml:space="preserve"> боковых стволов</w:t>
      </w:r>
    </w:p>
    <w:p w:rsidR="00A71E6C" w:rsidRDefault="00A71E6C" w:rsidP="00A71E6C">
      <w:pPr>
        <w:jc w:val="both"/>
      </w:pPr>
    </w:p>
    <w:p w:rsidR="00A71E6C" w:rsidRPr="001C6BC8" w:rsidRDefault="00A71E6C" w:rsidP="00A71E6C">
      <w:pPr>
        <w:jc w:val="both"/>
        <w:rPr>
          <w:b/>
        </w:rPr>
      </w:pPr>
      <w:r w:rsidRPr="001C6BC8">
        <w:rPr>
          <w:b/>
        </w:rPr>
        <w:t>2.</w:t>
      </w:r>
      <w:r w:rsidRPr="001C6BC8">
        <w:rPr>
          <w:b/>
        </w:rPr>
        <w:tab/>
        <w:t>Предварительное моделирование и планирование.</w:t>
      </w:r>
    </w:p>
    <w:p w:rsidR="00A71E6C" w:rsidRDefault="00A71E6C" w:rsidP="00A71E6C">
      <w:pPr>
        <w:jc w:val="both"/>
      </w:pPr>
      <w:r>
        <w:t xml:space="preserve">Перед началом бурения горизонтальной секции каждой скважины Инженер по </w:t>
      </w:r>
      <w:proofErr w:type="spellStart"/>
      <w:r>
        <w:t>геонавигации</w:t>
      </w:r>
      <w:proofErr w:type="spellEnd"/>
      <w:r>
        <w:t xml:space="preserve"> производит следующие работы:</w:t>
      </w:r>
    </w:p>
    <w:p w:rsidR="00A71E6C" w:rsidRDefault="00A71E6C" w:rsidP="00A71E6C">
      <w:pPr>
        <w:jc w:val="both"/>
      </w:pPr>
      <w:r>
        <w:t>2.1.</w:t>
      </w:r>
      <w:r>
        <w:tab/>
        <w:t xml:space="preserve">Сбор, подготовку и контроль качества исходной информации для предварительного моделирования. </w:t>
      </w:r>
    </w:p>
    <w:p w:rsidR="00A71E6C" w:rsidRDefault="00A71E6C" w:rsidP="00A71E6C">
      <w:pPr>
        <w:jc w:val="both"/>
      </w:pPr>
      <w:r>
        <w:t>Исходные данные для моделирования предоставляемые Заказчиком:</w:t>
      </w:r>
    </w:p>
    <w:p w:rsidR="00A71E6C" w:rsidRDefault="00A71E6C" w:rsidP="00A71E6C">
      <w:pPr>
        <w:jc w:val="both"/>
      </w:pPr>
      <w:r>
        <w:t>•</w:t>
      </w:r>
      <w:r>
        <w:tab/>
        <w:t>Карта текущего состояния разработки с отображением транзитного фонта;</w:t>
      </w:r>
    </w:p>
    <w:p w:rsidR="00A71E6C" w:rsidRDefault="00A71E6C" w:rsidP="00A71E6C">
      <w:pPr>
        <w:jc w:val="both"/>
      </w:pPr>
      <w:r>
        <w:t>•</w:t>
      </w:r>
      <w:r>
        <w:tab/>
        <w:t>Карта накопленных отборов;</w:t>
      </w:r>
    </w:p>
    <w:p w:rsidR="00A71E6C" w:rsidRDefault="00A71E6C" w:rsidP="00A71E6C">
      <w:pPr>
        <w:jc w:val="both"/>
      </w:pPr>
      <w:r>
        <w:t>•</w:t>
      </w:r>
      <w:r>
        <w:tab/>
        <w:t>Структурная карта;</w:t>
      </w:r>
    </w:p>
    <w:p w:rsidR="00A71E6C" w:rsidRDefault="00A71E6C" w:rsidP="00A71E6C">
      <w:pPr>
        <w:jc w:val="both"/>
      </w:pPr>
      <w:r>
        <w:t>•</w:t>
      </w:r>
      <w:r>
        <w:tab/>
        <w:t xml:space="preserve">Карта эффективных </w:t>
      </w:r>
      <w:proofErr w:type="spellStart"/>
      <w:r>
        <w:t>нефтерасыщенных</w:t>
      </w:r>
      <w:proofErr w:type="spellEnd"/>
      <w:r>
        <w:t xml:space="preserve"> толщин;</w:t>
      </w:r>
    </w:p>
    <w:p w:rsidR="00A71E6C" w:rsidRDefault="00A71E6C" w:rsidP="00A71E6C">
      <w:pPr>
        <w:jc w:val="both"/>
      </w:pPr>
      <w:r>
        <w:t>•</w:t>
      </w:r>
      <w:r>
        <w:tab/>
        <w:t>Каротажный материал по опорным скважинам в формате LAS, в т.ч. результаты интерпретации ГИС;</w:t>
      </w:r>
    </w:p>
    <w:p w:rsidR="00A71E6C" w:rsidRDefault="00A71E6C" w:rsidP="00A71E6C">
      <w:pPr>
        <w:jc w:val="both"/>
      </w:pPr>
      <w:r>
        <w:t>•</w:t>
      </w:r>
      <w:r>
        <w:tab/>
      </w:r>
      <w:proofErr w:type="spellStart"/>
      <w:r>
        <w:t>Инклинометрия</w:t>
      </w:r>
      <w:proofErr w:type="spellEnd"/>
      <w:r>
        <w:t xml:space="preserve"> по опорным скважинам в формате LAS,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xls</w:t>
      </w:r>
      <w:proofErr w:type="spellEnd"/>
      <w:r>
        <w:t>;</w:t>
      </w:r>
    </w:p>
    <w:p w:rsidR="00A71E6C" w:rsidRDefault="00A71E6C" w:rsidP="00A71E6C">
      <w:pPr>
        <w:jc w:val="both"/>
      </w:pPr>
      <w:r>
        <w:t>•</w:t>
      </w:r>
      <w:r>
        <w:tab/>
        <w:t>Плановая траектория скважины.</w:t>
      </w:r>
    </w:p>
    <w:p w:rsidR="00A71E6C" w:rsidRDefault="00A71E6C" w:rsidP="00A71E6C">
      <w:pPr>
        <w:jc w:val="both"/>
      </w:pPr>
      <w:r>
        <w:t>2.2.</w:t>
      </w:r>
      <w:r>
        <w:tab/>
        <w:t xml:space="preserve">Создание модели </w:t>
      </w:r>
      <w:proofErr w:type="spellStart"/>
      <w:r>
        <w:t>геонавигации</w:t>
      </w:r>
      <w:proofErr w:type="spellEnd"/>
      <w:r>
        <w:t>. Расчет синтетических каротажных диаграмм методов ГИС, планируемых к регистрации в скважине, на основе имеющихся материалов ГИС по соседним скважинам и структурных построений по месторождению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 xml:space="preserve">; и т.д.)  </w:t>
      </w:r>
    </w:p>
    <w:p w:rsidR="00A71E6C" w:rsidRDefault="00A71E6C" w:rsidP="00A71E6C">
      <w:pPr>
        <w:jc w:val="both"/>
      </w:pPr>
      <w:r>
        <w:t>2.3.</w:t>
      </w:r>
      <w:r>
        <w:tab/>
        <w:t xml:space="preserve">После предварительного моделирования в </w:t>
      </w:r>
      <w:proofErr w:type="spellStart"/>
      <w:proofErr w:type="gramStart"/>
      <w:r>
        <w:t>в</w:t>
      </w:r>
      <w:proofErr w:type="spellEnd"/>
      <w:proofErr w:type="gramEnd"/>
      <w:r>
        <w:t xml:space="preserve"> специализированном программном комплексе Исполнитель участвует в совещании с представителями Заказчика для обсуждения </w:t>
      </w:r>
      <w:r>
        <w:lastRenderedPageBreak/>
        <w:t>результатов работы. Результаты предварительного моделирования  принимаются Заказчиком и при необходимости, корректируются Исполнителем.</w:t>
      </w:r>
    </w:p>
    <w:p w:rsidR="00A71E6C" w:rsidRDefault="00A71E6C" w:rsidP="00A71E6C">
      <w:pPr>
        <w:jc w:val="both"/>
      </w:pPr>
      <w:r>
        <w:t>2.4.</w:t>
      </w:r>
      <w:r>
        <w:tab/>
        <w:t>Разработка и согласование геологических задач на горизонтальную скважину, критериев оценки успешности выполнения работ Исполнителем, требований к проводке скважины.</w:t>
      </w:r>
    </w:p>
    <w:p w:rsidR="00A71E6C" w:rsidRDefault="00A71E6C" w:rsidP="00A71E6C">
      <w:pPr>
        <w:jc w:val="both"/>
      </w:pPr>
      <w:r>
        <w:t>2.5.</w:t>
      </w:r>
      <w:r>
        <w:tab/>
        <w:t xml:space="preserve">Определение и согласование  схемы взаимодействия сторон (Заказчик, группа по </w:t>
      </w:r>
      <w:proofErr w:type="spellStart"/>
      <w:r>
        <w:t>генавигации</w:t>
      </w:r>
      <w:proofErr w:type="spellEnd"/>
      <w:r>
        <w:t xml:space="preserve">, подрядчик по бурению, подрядчик по ННБ, ГТИ и пр.) в процессе </w:t>
      </w:r>
      <w:proofErr w:type="spellStart"/>
      <w:r>
        <w:t>Геонавигации</w:t>
      </w:r>
      <w:proofErr w:type="spellEnd"/>
      <w:r>
        <w:t>.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 xml:space="preserve">Результатом данного этапа являются модели </w:t>
      </w:r>
      <w:proofErr w:type="spellStart"/>
      <w:r>
        <w:t>геонавигации</w:t>
      </w:r>
      <w:proofErr w:type="spellEnd"/>
      <w:r>
        <w:t xml:space="preserve">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>; и т.д.), с синтетическими кривыми ГИС планируемых к записи в процессе бурения, по каждой скважине. Согласованные цели и задачи на горизонтальный ствол, критерии успешности работы и схема взаимодействия участников процесса.</w:t>
      </w:r>
    </w:p>
    <w:p w:rsidR="00A71E6C" w:rsidRDefault="00A71E6C" w:rsidP="00A71E6C">
      <w:pPr>
        <w:jc w:val="both"/>
      </w:pPr>
      <w:r>
        <w:t>Материалы по данному этапу согласуются и подписываются сторонами.</w:t>
      </w:r>
    </w:p>
    <w:p w:rsidR="00A71E6C" w:rsidRPr="001C6BC8" w:rsidRDefault="00A71E6C" w:rsidP="00A71E6C">
      <w:pPr>
        <w:jc w:val="both"/>
        <w:rPr>
          <w:b/>
        </w:rPr>
      </w:pPr>
    </w:p>
    <w:p w:rsidR="00A71E6C" w:rsidRPr="001C6BC8" w:rsidRDefault="00A71E6C" w:rsidP="00A71E6C">
      <w:pPr>
        <w:jc w:val="both"/>
        <w:rPr>
          <w:b/>
        </w:rPr>
      </w:pPr>
      <w:r w:rsidRPr="001C6BC8">
        <w:rPr>
          <w:b/>
        </w:rPr>
        <w:t>3.</w:t>
      </w:r>
      <w:r w:rsidRPr="001C6BC8">
        <w:rPr>
          <w:b/>
        </w:rPr>
        <w:tab/>
        <w:t>Круглосуточное геологическое сопровождение бурения скважины.</w:t>
      </w:r>
    </w:p>
    <w:p w:rsidR="00A71E6C" w:rsidRDefault="00A71E6C" w:rsidP="00A71E6C">
      <w:pPr>
        <w:jc w:val="both"/>
      </w:pPr>
      <w:r>
        <w:t xml:space="preserve">Организацию передачи оперативной информации, от задействованных в процессе сторон, для выполнения работ по </w:t>
      </w:r>
      <w:proofErr w:type="spellStart"/>
      <w:r>
        <w:t>геонавигации</w:t>
      </w:r>
      <w:proofErr w:type="spellEnd"/>
      <w:r>
        <w:t xml:space="preserve"> берет на себя Заказчик. Передача данных осуществляется по электронной почте каждый интервал, согласованный сторонами на этапе планирования скважины, согласно утвержденному списку рассылки в следующем объеме:</w:t>
      </w:r>
    </w:p>
    <w:p w:rsidR="00A71E6C" w:rsidRDefault="00A71E6C" w:rsidP="00A71E6C">
      <w:pPr>
        <w:jc w:val="both"/>
      </w:pPr>
      <w:r>
        <w:t>•</w:t>
      </w:r>
      <w:r>
        <w:tab/>
        <w:t>Фактические кривые ГИС-</w:t>
      </w:r>
      <w:proofErr w:type="gramStart"/>
      <w:r>
        <w:t>LWD</w:t>
      </w:r>
      <w:proofErr w:type="gramEnd"/>
      <w:r>
        <w:t xml:space="preserve"> в формате LAS;</w:t>
      </w:r>
    </w:p>
    <w:p w:rsidR="00A71E6C" w:rsidRDefault="00A71E6C" w:rsidP="00A71E6C">
      <w:pPr>
        <w:jc w:val="both"/>
      </w:pPr>
      <w:r>
        <w:t>•</w:t>
      </w:r>
      <w:r>
        <w:tab/>
        <w:t xml:space="preserve">Фактическая </w:t>
      </w:r>
      <w:proofErr w:type="spellStart"/>
      <w:r>
        <w:t>инклинометрия</w:t>
      </w:r>
      <w:proofErr w:type="spellEnd"/>
      <w:r>
        <w:t xml:space="preserve"> ствола скважины (MD, INCL, AZIM, альтитуда и т.д.) в формате </w:t>
      </w:r>
      <w:proofErr w:type="spellStart"/>
      <w:r>
        <w:t>xls</w:t>
      </w:r>
      <w:proofErr w:type="spellEnd"/>
      <w:r>
        <w:t>;</w:t>
      </w:r>
    </w:p>
    <w:p w:rsidR="00A71E6C" w:rsidRDefault="00A71E6C" w:rsidP="00A71E6C">
      <w:pPr>
        <w:jc w:val="both"/>
      </w:pPr>
      <w:r>
        <w:t>•</w:t>
      </w:r>
      <w:r>
        <w:tab/>
        <w:t>ГТИ (</w:t>
      </w:r>
      <w:proofErr w:type="spellStart"/>
      <w:r>
        <w:t>газокаротаж</w:t>
      </w:r>
      <w:proofErr w:type="spellEnd"/>
      <w:r>
        <w:t xml:space="preserve">, </w:t>
      </w:r>
      <w:proofErr w:type="spellStart"/>
      <w:r>
        <w:t>шламограмма</w:t>
      </w:r>
      <w:proofErr w:type="spellEnd"/>
      <w:r>
        <w:t xml:space="preserve">, в формате </w:t>
      </w:r>
      <w:proofErr w:type="spellStart"/>
      <w:r>
        <w:t>xls</w:t>
      </w:r>
      <w:proofErr w:type="spellEnd"/>
      <w:r>
        <w:t>);</w:t>
      </w:r>
    </w:p>
    <w:p w:rsidR="00A71E6C" w:rsidRDefault="00A71E6C" w:rsidP="00A71E6C">
      <w:pPr>
        <w:jc w:val="both"/>
      </w:pPr>
      <w:r>
        <w:t>•</w:t>
      </w:r>
      <w:r>
        <w:tab/>
        <w:t xml:space="preserve">Ежесуточные сводки от подрядчика по бурению и ННБ о ходе работ на буровой в формате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doc</w:t>
      </w:r>
      <w:proofErr w:type="spellEnd"/>
      <w:r>
        <w:t>.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 xml:space="preserve">Круглосуточное геологическое сопровождение бурения скважины начинается </w:t>
      </w:r>
      <w:proofErr w:type="gramStart"/>
      <w:r>
        <w:t>согласно плана</w:t>
      </w:r>
      <w:proofErr w:type="gramEnd"/>
      <w:r>
        <w:t xml:space="preserve"> работ, согласованного сторонами, т.е. работа может начинаться с определенной глубины по стволу скважины (например, 200 или 300 метров до целевого интервала).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 xml:space="preserve">После получения данных с буровой, Исполнитель обрабатывает, анализирует информацию и формирует свои рекомендации исходя из межскважинной корреляции  и сопоставления синтетических кривых с данными каротажа, полученного в процессе бурения скважины, и </w:t>
      </w:r>
      <w:proofErr w:type="gramStart"/>
      <w:r>
        <w:t>предоставляет оперативный отчет</w:t>
      </w:r>
      <w:proofErr w:type="gramEnd"/>
      <w:r>
        <w:t xml:space="preserve"> по утвержденному списку рассылки.</w:t>
      </w:r>
    </w:p>
    <w:p w:rsidR="00A71E6C" w:rsidRDefault="00A71E6C" w:rsidP="00A71E6C">
      <w:pPr>
        <w:jc w:val="both"/>
      </w:pPr>
      <w:r>
        <w:t>В случае необходимости оперативной корректировки траектории скважины Исполнитель уведомляет Заказчика по средствам рекомендации на корректировку траектории. После обсуждения с представителями Заказчика данной информации, траектория горизонтальной скважины может быть скорректирована Заказчиком, если иного не оговорено в согласованной схеме взаимодействия.</w:t>
      </w:r>
    </w:p>
    <w:p w:rsidR="00A71E6C" w:rsidRDefault="00A71E6C" w:rsidP="00A71E6C">
      <w:pPr>
        <w:jc w:val="both"/>
      </w:pPr>
      <w:r>
        <w:t>Каждая рекомендация Исполнителя должна быть подтверждена или отклонена Заказчиком в письменной форме по электронной почте. В случае принятия, каких либо решений по корректировке траектории скважины Заказчиком без участия Исполнителя, Заказчик оповещает Исполнителя об этом по электронной почте.</w:t>
      </w:r>
    </w:p>
    <w:p w:rsidR="00A71E6C" w:rsidRDefault="00A71E6C" w:rsidP="00A71E6C">
      <w:pPr>
        <w:jc w:val="both"/>
      </w:pPr>
      <w:r>
        <w:t xml:space="preserve">Так же Исполнителем передаются Заказчику ежедневные отчёты по </w:t>
      </w:r>
      <w:proofErr w:type="spellStart"/>
      <w:r>
        <w:t>геонавигации</w:t>
      </w:r>
      <w:proofErr w:type="spellEnd"/>
      <w:r>
        <w:t xml:space="preserve"> по утверждённому списку рассылки 2 раза в сутки. Отчеты оформляются в виде презентаций в формате *.</w:t>
      </w:r>
      <w:proofErr w:type="spellStart"/>
      <w:r>
        <w:t>ppt</w:t>
      </w:r>
      <w:proofErr w:type="spellEnd"/>
      <w:r>
        <w:t xml:space="preserve"> и проект по геологическому сопровождению бурения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 xml:space="preserve">; и т.д.). </w:t>
      </w:r>
    </w:p>
    <w:p w:rsidR="00A71E6C" w:rsidRPr="001C6BC8" w:rsidRDefault="00A71E6C" w:rsidP="00A71E6C">
      <w:pPr>
        <w:jc w:val="both"/>
        <w:rPr>
          <w:b/>
        </w:rPr>
      </w:pPr>
      <w:r w:rsidRPr="001C6BC8">
        <w:rPr>
          <w:b/>
        </w:rPr>
        <w:t>4.</w:t>
      </w:r>
      <w:r w:rsidRPr="001C6BC8">
        <w:rPr>
          <w:b/>
        </w:rPr>
        <w:tab/>
        <w:t>Финальный отчет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  <w:r>
        <w:t>4.1.</w:t>
      </w:r>
      <w:r>
        <w:tab/>
        <w:t xml:space="preserve">По завершению бурения скважины Заказчику передается финальный отчет по проводке скважины, который включает </w:t>
      </w:r>
      <w:proofErr w:type="spellStart"/>
      <w:r>
        <w:t>геонавигационную</w:t>
      </w:r>
      <w:proofErr w:type="spellEnd"/>
      <w:r>
        <w:t xml:space="preserve"> модель в специализированном программном </w:t>
      </w:r>
      <w:r>
        <w:lastRenderedPageBreak/>
        <w:t>комплексе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:rsidR="00A71E6C" w:rsidRDefault="00A71E6C" w:rsidP="00A71E6C">
      <w:pPr>
        <w:jc w:val="both"/>
      </w:pPr>
      <w:r>
        <w:t>4.2.</w:t>
      </w:r>
      <w:r>
        <w:tab/>
        <w:t>Финальный отчет по каждой скважине предоставляется Заказчику не позднее 72 часов после завершения бурения скважины в виде бумажной копии и электронной копии в виде презентаций в формате *.</w:t>
      </w:r>
      <w:proofErr w:type="spellStart"/>
      <w:r>
        <w:t>ppt</w:t>
      </w:r>
      <w:proofErr w:type="spellEnd"/>
      <w:r>
        <w:t>.</w:t>
      </w:r>
    </w:p>
    <w:p w:rsidR="00A71E6C" w:rsidRDefault="00A71E6C" w:rsidP="00A71E6C">
      <w:pPr>
        <w:jc w:val="both"/>
      </w:pPr>
      <w:r>
        <w:t>4.3.</w:t>
      </w:r>
      <w:r>
        <w:tab/>
        <w:t>Результатом работы по интерактивному сопровождению бурения должны являться конкретные рекомендации Исполнителя по корректировке и оптимизации расположения стволов скважин в продуктивном пласте с обоснованием необходимости таких изменений, направленные на достижение геологических целей и задач на скважину.</w:t>
      </w:r>
    </w:p>
    <w:p w:rsidR="00A71E6C" w:rsidRDefault="00A71E6C" w:rsidP="00A71E6C">
      <w:pPr>
        <w:jc w:val="both"/>
      </w:pPr>
      <w:r>
        <w:t>4.4.</w:t>
      </w:r>
      <w:r>
        <w:tab/>
        <w:t>Заказчику передаются финальные информационные отчеты по каждой скважине.</w:t>
      </w:r>
    </w:p>
    <w:p w:rsidR="00A71E6C" w:rsidRDefault="00A71E6C" w:rsidP="00A71E6C">
      <w:pPr>
        <w:jc w:val="both"/>
      </w:pPr>
      <w:r>
        <w:t>4.5.</w:t>
      </w:r>
      <w:r>
        <w:tab/>
      </w:r>
      <w:proofErr w:type="spellStart"/>
      <w:r>
        <w:t>Геонавигационная</w:t>
      </w:r>
      <w:proofErr w:type="spellEnd"/>
      <w:r>
        <w:t xml:space="preserve"> модель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>; и т.д.) по каждой пробуренной скважине.</w:t>
      </w:r>
    </w:p>
    <w:p w:rsidR="00A71E6C" w:rsidRDefault="00A71E6C" w:rsidP="00A71E6C">
      <w:pPr>
        <w:jc w:val="both"/>
      </w:pPr>
      <w:r>
        <w:t>4.6.</w:t>
      </w:r>
      <w:r>
        <w:tab/>
        <w:t>Промежуточный отчёт по завершению календарного месяца.</w:t>
      </w:r>
    </w:p>
    <w:p w:rsidR="00A71E6C" w:rsidRDefault="00A71E6C" w:rsidP="00A71E6C">
      <w:pPr>
        <w:jc w:val="both"/>
      </w:pPr>
      <w:r>
        <w:t>4.7.</w:t>
      </w:r>
      <w:r>
        <w:tab/>
        <w:t>Окончательный отчёт по завершению выполнения договора.</w:t>
      </w:r>
    </w:p>
    <w:p w:rsidR="00A71E6C" w:rsidRDefault="00A71E6C" w:rsidP="00A71E6C">
      <w:pPr>
        <w:jc w:val="both"/>
      </w:pPr>
    </w:p>
    <w:p w:rsidR="00A71E6C" w:rsidRPr="001C6BC8" w:rsidRDefault="00A71E6C" w:rsidP="00A71E6C">
      <w:pPr>
        <w:jc w:val="both"/>
        <w:rPr>
          <w:b/>
        </w:rPr>
      </w:pPr>
      <w:r w:rsidRPr="001C6BC8">
        <w:rPr>
          <w:b/>
        </w:rPr>
        <w:t>5.</w:t>
      </w:r>
      <w:r w:rsidRPr="001C6BC8">
        <w:rPr>
          <w:b/>
        </w:rPr>
        <w:tab/>
        <w:t>Особые требования:</w:t>
      </w:r>
    </w:p>
    <w:p w:rsidR="00A71E6C" w:rsidRDefault="00A71E6C" w:rsidP="00A71E6C">
      <w:pPr>
        <w:jc w:val="both"/>
      </w:pPr>
      <w:r>
        <w:t xml:space="preserve">5.1  </w:t>
      </w:r>
      <w:r w:rsidR="001C6BC8">
        <w:t xml:space="preserve">  </w:t>
      </w:r>
      <w:r>
        <w:t>Исполнитель должен обладать постоянно действующей рабочей группой из специалистов с квалификацией достаточной для оказания качественных сервисных услуг по геологическому сопровождению бурения (</w:t>
      </w:r>
      <w:proofErr w:type="spellStart"/>
      <w:r>
        <w:t>геонавигации</w:t>
      </w:r>
      <w:proofErr w:type="spellEnd"/>
      <w:r>
        <w:t xml:space="preserve">) горизонтальных стволов  эксплуатационных  скважин, горизонтальных стволов при </w:t>
      </w:r>
      <w:proofErr w:type="spellStart"/>
      <w:r>
        <w:t>зарезке</w:t>
      </w:r>
      <w:proofErr w:type="spellEnd"/>
      <w:r>
        <w:t xml:space="preserve"> боковых стволов в объеме 3 (трех) скважин в смену. </w:t>
      </w:r>
    </w:p>
    <w:p w:rsidR="00A71E6C" w:rsidRDefault="00A71E6C" w:rsidP="00A71E6C">
      <w:pPr>
        <w:jc w:val="both"/>
      </w:pPr>
      <w:r>
        <w:t>5.2</w:t>
      </w:r>
      <w:proofErr w:type="gramStart"/>
      <w:r>
        <w:tab/>
        <w:t>В</w:t>
      </w:r>
      <w:proofErr w:type="gramEnd"/>
      <w:r>
        <w:t>се работы по сопровождению бурения должны проводятся с использованием методов двухмерного синтетического каротажа в специализированном программном комплексе («</w:t>
      </w:r>
      <w:proofErr w:type="spellStart"/>
      <w:r>
        <w:t>Геонафт</w:t>
      </w:r>
      <w:proofErr w:type="spellEnd"/>
      <w:r>
        <w:t xml:space="preserve">»;   модуль </w:t>
      </w:r>
      <w:proofErr w:type="spellStart"/>
      <w:r>
        <w:t>Geosteering</w:t>
      </w:r>
      <w:proofErr w:type="spellEnd"/>
      <w:r>
        <w:t xml:space="preserve"> </w:t>
      </w:r>
      <w:proofErr w:type="spellStart"/>
      <w:r>
        <w:t>Petrel</w:t>
      </w:r>
      <w:proofErr w:type="spellEnd"/>
      <w:r>
        <w:t>; и т.д.).</w:t>
      </w:r>
    </w:p>
    <w:p w:rsidR="00A71E6C" w:rsidRDefault="00A71E6C" w:rsidP="00A71E6C">
      <w:pPr>
        <w:jc w:val="both"/>
      </w:pPr>
      <w:r>
        <w:t>5.3.</w:t>
      </w:r>
      <w:r w:rsidR="001C6BC8">
        <w:t xml:space="preserve">     </w:t>
      </w:r>
      <w:r>
        <w:t>Заказчик отвечает за своевременное и полноценное предоставление всей требуемой для выполнения поставленных задач геологической, геофизической и технологической информации.</w:t>
      </w:r>
    </w:p>
    <w:p w:rsidR="00A71E6C" w:rsidRDefault="00A71E6C" w:rsidP="00A71E6C">
      <w:pPr>
        <w:jc w:val="both"/>
      </w:pPr>
      <w:r>
        <w:t>6.</w:t>
      </w:r>
      <w:r>
        <w:tab/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A71E6C" w:rsidRDefault="00A71E6C" w:rsidP="001C6BC8">
      <w:pPr>
        <w:pStyle w:val="a5"/>
        <w:numPr>
          <w:ilvl w:val="0"/>
          <w:numId w:val="2"/>
        </w:numPr>
        <w:jc w:val="both"/>
      </w:pPr>
      <w:r>
        <w:t>Смерть в результате несчастного случая;</w:t>
      </w:r>
    </w:p>
    <w:p w:rsidR="00A71E6C" w:rsidRDefault="00A71E6C" w:rsidP="001C6BC8">
      <w:pPr>
        <w:pStyle w:val="a5"/>
        <w:numPr>
          <w:ilvl w:val="0"/>
          <w:numId w:val="2"/>
        </w:numPr>
        <w:jc w:val="both"/>
      </w:pPr>
      <w:r>
        <w:t>Постоянная (полная) утрата трудоспособности в результате несчастного случая с установлением I, II, III групп инвалидности.</w:t>
      </w:r>
    </w:p>
    <w:p w:rsidR="00A71E6C" w:rsidRDefault="00A71E6C" w:rsidP="00A71E6C">
      <w:pPr>
        <w:jc w:val="both"/>
      </w:pPr>
      <w:r>
        <w:t>Договор добровольного страхования  от несчастных случаев заключать без увеличения стоимости оказания основных услуг</w:t>
      </w: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</w:p>
    <w:p w:rsidR="00A71E6C" w:rsidRDefault="00A71E6C" w:rsidP="00A71E6C">
      <w:pPr>
        <w:jc w:val="both"/>
      </w:pPr>
    </w:p>
    <w:p w:rsidR="007E2520" w:rsidRDefault="007E2520" w:rsidP="00A71E6C">
      <w:pPr>
        <w:jc w:val="both"/>
      </w:pPr>
    </w:p>
    <w:p w:rsidR="00A71E6C" w:rsidRDefault="00A71E6C" w:rsidP="00A71E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E6C" w:rsidRDefault="00A71E6C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1872A4" w:rsidRDefault="00842476" w:rsidP="0084247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</w:t>
      </w:r>
    </w:p>
    <w:p w:rsidR="001872A4" w:rsidRDefault="001872A4" w:rsidP="00842476">
      <w:pPr>
        <w:rPr>
          <w:b/>
          <w:sz w:val="22"/>
          <w:szCs w:val="22"/>
        </w:rPr>
      </w:pPr>
    </w:p>
    <w:p w:rsidR="001872A4" w:rsidRDefault="001872A4" w:rsidP="00842476">
      <w:pPr>
        <w:rPr>
          <w:b/>
          <w:sz w:val="22"/>
          <w:szCs w:val="22"/>
        </w:rPr>
      </w:pPr>
    </w:p>
    <w:p w:rsidR="00842476" w:rsidRPr="00A205A5" w:rsidRDefault="00842476" w:rsidP="001872A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842476" w:rsidRPr="006F7034" w:rsidRDefault="00842476" w:rsidP="00842476">
      <w:pPr>
        <w:ind w:firstLine="708"/>
        <w:jc w:val="right"/>
        <w:rPr>
          <w:b/>
          <w:sz w:val="22"/>
          <w:szCs w:val="22"/>
        </w:rPr>
      </w:pPr>
    </w:p>
    <w:p w:rsidR="00842476" w:rsidRPr="00C85869" w:rsidRDefault="00842476" w:rsidP="0084247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842476" w:rsidRPr="006F7034" w:rsidRDefault="00842476" w:rsidP="008424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842476" w:rsidRPr="006F7034" w:rsidTr="0071773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42476" w:rsidRDefault="00842476" w:rsidP="00842476">
      <w:pPr>
        <w:jc w:val="right"/>
        <w:rPr>
          <w:sz w:val="22"/>
        </w:rPr>
      </w:pPr>
    </w:p>
    <w:p w:rsidR="00842476" w:rsidRPr="006F7034" w:rsidRDefault="00842476" w:rsidP="00842476">
      <w:pPr>
        <w:rPr>
          <w:sz w:val="22"/>
          <w:szCs w:val="22"/>
        </w:rPr>
      </w:pPr>
    </w:p>
    <w:p w:rsidR="00842476" w:rsidRPr="006F7034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842476" w:rsidRPr="006A0E23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842476" w:rsidRPr="006A0E23" w:rsidRDefault="00842476" w:rsidP="00842476">
      <w:pPr>
        <w:jc w:val="right"/>
        <w:rPr>
          <w:sz w:val="22"/>
          <w:szCs w:val="22"/>
        </w:rPr>
      </w:pPr>
    </w:p>
    <w:p w:rsidR="00842476" w:rsidRDefault="00842476" w:rsidP="00A71E6C">
      <w:pPr>
        <w:jc w:val="right"/>
      </w:pPr>
    </w:p>
    <w:sectPr w:rsidR="00842476" w:rsidSect="00A71E6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70F52939"/>
    <w:multiLevelType w:val="hybridMultilevel"/>
    <w:tmpl w:val="6EA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92332"/>
    <w:rsid w:val="001872A4"/>
    <w:rsid w:val="001B0E3D"/>
    <w:rsid w:val="001C6BC8"/>
    <w:rsid w:val="00292332"/>
    <w:rsid w:val="00367F78"/>
    <w:rsid w:val="007E2520"/>
    <w:rsid w:val="007E2D60"/>
    <w:rsid w:val="0082556E"/>
    <w:rsid w:val="00842476"/>
    <w:rsid w:val="00A5753E"/>
    <w:rsid w:val="00A71E6C"/>
    <w:rsid w:val="00AC7B3B"/>
    <w:rsid w:val="00B058CD"/>
    <w:rsid w:val="00B61059"/>
    <w:rsid w:val="00D1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tender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zzatullinRA@mng.slavneft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sn-mng.ru/supplier/procureme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3781</Words>
  <Characters>21555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Оксана Анатольевна Дмитриченко</cp:lastModifiedBy>
  <cp:revision>7</cp:revision>
  <cp:lastPrinted>2014-12-25T03:35:00Z</cp:lastPrinted>
  <dcterms:created xsi:type="dcterms:W3CDTF">2014-12-20T07:21:00Z</dcterms:created>
  <dcterms:modified xsi:type="dcterms:W3CDTF">2014-12-29T10:29:00Z</dcterms:modified>
</cp:coreProperties>
</file>