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DD44B9" w:rsidP="00816912">
      <w:pPr>
        <w:jc w:val="right"/>
        <w:rPr>
          <w:b/>
        </w:rPr>
      </w:pPr>
      <w:r>
        <w:rPr>
          <w:b/>
        </w:rPr>
        <w:t xml:space="preserve">  </w:t>
      </w:r>
      <w:r w:rsidR="00816912"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D1C50">
            <w:pPr>
              <w:jc w:val="both"/>
            </w:pPr>
            <w:r w:rsidRPr="000127F9">
              <w:t>Протокол  № ____</w:t>
            </w:r>
            <w:r w:rsidR="001D1C50">
              <w:rPr>
                <w:u w:val="single"/>
                <w:lang w:val="en-US"/>
              </w:rPr>
              <w:t xml:space="preserve">355        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D1C50">
            <w:pPr>
              <w:jc w:val="both"/>
            </w:pPr>
            <w:r w:rsidRPr="000127F9">
              <w:t>«</w:t>
            </w:r>
            <w:r w:rsidR="001D1C50">
              <w:rPr>
                <w:u w:val="single"/>
              </w:rPr>
              <w:t>30</w:t>
            </w:r>
            <w:r w:rsidRPr="000127F9">
              <w:t>»</w:t>
            </w:r>
            <w:r w:rsidR="001D1C50">
              <w:t xml:space="preserve">      октября</w:t>
            </w:r>
            <w:r w:rsidRPr="000127F9">
              <w:t xml:space="preserve">  </w:t>
            </w:r>
            <w:r w:rsidR="001D1C50">
              <w:t xml:space="preserve">        </w:t>
            </w:r>
            <w:r w:rsidR="001D1C50">
              <w:rPr>
                <w:lang w:val="en-US"/>
              </w:rPr>
              <w:t>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4D3CAD">
        <w:rPr>
          <w:b/>
        </w:rPr>
        <w:t xml:space="preserve">  </w:t>
      </w:r>
      <w:r w:rsidR="00916B06">
        <w:rPr>
          <w:b/>
        </w:rPr>
        <w:t>722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1D1C50">
        <w:rPr>
          <w:b/>
        </w:rPr>
        <w:t>«30</w:t>
      </w:r>
      <w:r w:rsidR="00D67B56">
        <w:rPr>
          <w:b/>
        </w:rPr>
        <w:t>»</w:t>
      </w:r>
      <w:r w:rsidR="001D1C50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D3CAD">
        <w:rPr>
          <w:b/>
        </w:rPr>
        <w:t>5</w:t>
      </w:r>
      <w:r w:rsidR="00D67B56">
        <w:rPr>
          <w:b/>
        </w:rPr>
        <w:t>01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916B06" w:rsidRPr="00916B06">
        <w:rPr>
          <w:b/>
        </w:rPr>
        <w:t>Проведение прострелочно-взрывны</w:t>
      </w:r>
      <w:r w:rsidR="00916B06">
        <w:rPr>
          <w:b/>
        </w:rPr>
        <w:t>х</w:t>
      </w:r>
      <w:r w:rsidR="00916B06" w:rsidRPr="00916B06">
        <w:rPr>
          <w:b/>
        </w:rPr>
        <w:t xml:space="preserve"> работ при текущем и капитальном ремонте скважин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D67B56">
        <w:t>ами</w:t>
      </w:r>
      <w:r w:rsidR="00816912" w:rsidRPr="00433159">
        <w:t xml:space="preserve"> </w:t>
      </w:r>
      <w:r w:rsidR="00786B08">
        <w:t>3, 4.1-4.4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1A0905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265342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265342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</w:t>
      </w:r>
      <w:r w:rsidRPr="00AE6261">
        <w:t xml:space="preserve">до </w:t>
      </w:r>
      <w:r w:rsidR="0071567C" w:rsidRPr="00AE6261">
        <w:t>31.</w:t>
      </w:r>
      <w:r w:rsidR="00142D3E" w:rsidRPr="007A6ACD">
        <w:t>03</w:t>
      </w:r>
      <w:r w:rsidR="0071567C" w:rsidRPr="007A6ACD">
        <w:t>.201</w:t>
      </w:r>
      <w:r w:rsidR="00142D3E" w:rsidRPr="007A6ACD">
        <w:t>5</w:t>
      </w:r>
      <w:r w:rsidR="0071567C" w:rsidRPr="007A6ACD">
        <w:t>г</w:t>
      </w:r>
      <w:r w:rsidR="0071567C" w:rsidRPr="00AE6261">
        <w:t>.</w:t>
      </w:r>
      <w:r w:rsidR="0071567C" w:rsidRPr="005A0C17">
        <w:t xml:space="preserve">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D23896" w:rsidRPr="00D23896" w:rsidRDefault="00D23896" w:rsidP="00D2389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t>заполненны</w:t>
      </w:r>
      <w:r>
        <w:t>е</w:t>
      </w:r>
      <w:r w:rsidRPr="00D67B56">
        <w:t>, подписанны</w:t>
      </w:r>
      <w:r>
        <w:t>е</w:t>
      </w:r>
      <w:r w:rsidRPr="00D67B56">
        <w:t xml:space="preserve"> </w:t>
      </w:r>
      <w:r>
        <w:t xml:space="preserve">лоты №№ 501.1, 501.2, 501.3,501.4 </w:t>
      </w:r>
      <w:r w:rsidRPr="00D67B56">
        <w:rPr>
          <w:szCs w:val="16"/>
        </w:rPr>
        <w:t>(Форм</w:t>
      </w:r>
      <w:r>
        <w:rPr>
          <w:szCs w:val="16"/>
        </w:rPr>
        <w:t>ы</w:t>
      </w:r>
      <w:r w:rsidRPr="00D67B56">
        <w:rPr>
          <w:szCs w:val="16"/>
        </w:rPr>
        <w:t xml:space="preserve"> </w:t>
      </w:r>
      <w:r w:rsidRPr="00786B08">
        <w:rPr>
          <w:szCs w:val="16"/>
        </w:rPr>
        <w:t>4</w:t>
      </w:r>
      <w:r>
        <w:rPr>
          <w:szCs w:val="16"/>
        </w:rPr>
        <w:t>.1-4.4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D23896" w:rsidRPr="000B2ACB" w:rsidRDefault="00D23896" w:rsidP="00D2389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 w:rsidR="009A0C4C" w:rsidRPr="009A0C4C">
        <w:t xml:space="preserve"> </w:t>
      </w:r>
      <w:r w:rsidR="009A0C4C">
        <w:t>на производство прострелочно-взрывных работ (ПВР) при текущем и капитальном ремонте скважин (ТКРС)</w:t>
      </w:r>
      <w:r>
        <w:t xml:space="preserve"> № </w:t>
      </w:r>
      <w:r w:rsidR="00916B06">
        <w:t>5</w:t>
      </w:r>
      <w:r w:rsidR="00D67B56" w:rsidRPr="00D67B56">
        <w:t>01 «</w:t>
      </w:r>
      <w:r w:rsidR="00916B06" w:rsidRPr="00916B06">
        <w:t>Проведение прострелочно-взрывных работ при текущем и капитальном ремонте скважин</w:t>
      </w:r>
      <w:r w:rsidR="00D67B56" w:rsidRPr="00D67B56">
        <w:t xml:space="preserve">» </w:t>
      </w:r>
      <w:r w:rsidR="00C805AC">
        <w:t>(</w:t>
      </w:r>
      <w:r w:rsidR="00786B08">
        <w:t>Форма 9</w:t>
      </w:r>
      <w:r w:rsidR="00C805AC">
        <w:t>)</w:t>
      </w:r>
      <w:r w:rsidR="00786B08">
        <w:t xml:space="preserve"> с заполненной и подписанной анкетой соответствия критериям технической оценки оферт участников закупки </w:t>
      </w:r>
      <w:r w:rsidR="009B1115" w:rsidRPr="00D67B56">
        <w:rPr>
          <w:iCs/>
          <w:szCs w:val="16"/>
        </w:rPr>
        <w:t>(Приложение №</w:t>
      </w:r>
      <w:r w:rsidR="00D67B56">
        <w:rPr>
          <w:iCs/>
          <w:szCs w:val="16"/>
        </w:rPr>
        <w:t>1</w:t>
      </w:r>
      <w:r w:rsidRPr="00D67B56">
        <w:rPr>
          <w:iCs/>
          <w:szCs w:val="16"/>
        </w:rPr>
        <w:t xml:space="preserve"> к Форме </w:t>
      </w:r>
      <w:r w:rsidR="00786B08">
        <w:rPr>
          <w:iCs/>
          <w:szCs w:val="16"/>
        </w:rPr>
        <w:t>9</w:t>
      </w:r>
      <w:r w:rsidRPr="00D67B56">
        <w:rPr>
          <w:iCs/>
          <w:szCs w:val="16"/>
        </w:rPr>
        <w:t>).</w:t>
      </w:r>
      <w:proofErr w:type="gramEnd"/>
    </w:p>
    <w:p w:rsidR="00556572" w:rsidRPr="00D67B56" w:rsidRDefault="00556572" w:rsidP="00556572">
      <w:pPr>
        <w:jc w:val="both"/>
      </w:pP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1D1C50">
        <w:rPr>
          <w:b/>
        </w:rPr>
        <w:t>30</w:t>
      </w:r>
      <w:r w:rsidRPr="009C58FF">
        <w:rPr>
          <w:b/>
        </w:rPr>
        <w:t xml:space="preserve">» </w:t>
      </w:r>
      <w:r w:rsidR="001D1C50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1D1C50">
        <w:rPr>
          <w:b/>
        </w:rPr>
        <w:t>14</w:t>
      </w:r>
      <w:r w:rsidRPr="009C58FF">
        <w:rPr>
          <w:b/>
        </w:rPr>
        <w:t xml:space="preserve">» </w:t>
      </w:r>
      <w:r w:rsidR="001D1C50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</w:t>
      </w:r>
      <w:r w:rsidRPr="00AE6261">
        <w:rPr>
          <w:b/>
        </w:rPr>
        <w:t xml:space="preserve">«31» </w:t>
      </w:r>
      <w:r w:rsidR="00142D3E" w:rsidRPr="007A6ACD">
        <w:rPr>
          <w:b/>
        </w:rPr>
        <w:t>марта</w:t>
      </w:r>
      <w:r w:rsidRPr="007A6ACD">
        <w:rPr>
          <w:b/>
        </w:rPr>
        <w:t xml:space="preserve"> 201</w:t>
      </w:r>
      <w:r w:rsidR="00142D3E" w:rsidRPr="007A6ACD">
        <w:rPr>
          <w:b/>
        </w:rPr>
        <w:t>5</w:t>
      </w:r>
      <w:r w:rsidRPr="00AE6261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916B06">
        <w:rPr>
          <w:b/>
        </w:rPr>
        <w:t>722</w:t>
      </w:r>
      <w:r w:rsidR="00B5448B" w:rsidRPr="000509F7">
        <w:rPr>
          <w:b/>
        </w:rPr>
        <w:t xml:space="preserve">/ТК/2014 </w:t>
      </w:r>
      <w:r w:rsidR="001D1C50">
        <w:rPr>
          <w:b/>
        </w:rPr>
        <w:t>от «30</w:t>
      </w:r>
      <w:r w:rsidR="00D67B56" w:rsidRPr="00D67B56">
        <w:rPr>
          <w:b/>
        </w:rPr>
        <w:t>»</w:t>
      </w:r>
      <w:r w:rsidR="001D1C50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D67B56" w:rsidRPr="00D67B56">
        <w:t>«Критериям технической оценки оферт участников за</w:t>
      </w:r>
      <w:r w:rsidR="00D67B56">
        <w:t>к</w:t>
      </w:r>
      <w:r w:rsidR="00D67B56" w:rsidRPr="00D67B56">
        <w:t>упки</w:t>
      </w:r>
      <w:r w:rsidR="009A0C4C" w:rsidRPr="009A0C4C">
        <w:t xml:space="preserve"> </w:t>
      </w:r>
      <w:r w:rsidR="009A0C4C">
        <w:t>на производство прострелочно-взрывных работ (ПВР) при текущем и капитальном ремонте скважин (ТКРС)</w:t>
      </w:r>
      <w:r w:rsidR="00D67B56" w:rsidRPr="00D67B56">
        <w:t xml:space="preserve"> № </w:t>
      </w:r>
      <w:r w:rsidR="00DD44B9" w:rsidRPr="00DD44B9">
        <w:t>501 «Проведение прострелочно-взрывных работ при текущем и капитальном ремонте скважин»</w:t>
      </w:r>
      <w:r w:rsidR="00786B08">
        <w:t xml:space="preserve"> (Форма 9) с заполненной и подписанной анкетой соответствия критериям </w:t>
      </w:r>
      <w:r w:rsidR="00786B08">
        <w:lastRenderedPageBreak/>
        <w:t>технической оценки оферт участников закупки (Приложение</w:t>
      </w:r>
      <w:proofErr w:type="gramEnd"/>
      <w:r w:rsidR="00786B08">
        <w:t xml:space="preserve"> 1 к Форме 9) </w:t>
      </w:r>
      <w:r w:rsidR="00DD44B9" w:rsidRPr="00C93FB6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533F74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6936BF" w:rsidRPr="00D302C2">
        <w:t xml:space="preserve">заполненную, подписанную  Калькуляцию, </w:t>
      </w:r>
      <w:r w:rsidR="006936BF" w:rsidRPr="00D302C2">
        <w:rPr>
          <w:lang w:val="en-US"/>
        </w:rPr>
        <w:t>c</w:t>
      </w:r>
      <w:r w:rsidR="006936BF" w:rsidRPr="00D302C2">
        <w:t xml:space="preserve"> расшифровкой по стоимости затрат </w:t>
      </w:r>
      <w:r w:rsidR="006936BF" w:rsidRPr="00D302C2">
        <w:rPr>
          <w:szCs w:val="16"/>
        </w:rPr>
        <w:t xml:space="preserve">(Форма </w:t>
      </w:r>
      <w:r w:rsidR="006936BF">
        <w:rPr>
          <w:szCs w:val="16"/>
        </w:rPr>
        <w:t>4</w:t>
      </w:r>
      <w:r w:rsidR="006936BF" w:rsidRPr="00D302C2">
        <w:rPr>
          <w:szCs w:val="16"/>
        </w:rPr>
        <w:t>)</w:t>
      </w:r>
      <w:r w:rsidR="006936BF">
        <w:rPr>
          <w:szCs w:val="16"/>
        </w:rPr>
        <w:t xml:space="preserve">, </w:t>
      </w:r>
      <w:r w:rsidR="0028121C" w:rsidRPr="00D302C2">
        <w:t>заполненны</w:t>
      </w:r>
      <w:r w:rsidR="006936BF">
        <w:t>е</w:t>
      </w:r>
      <w:r w:rsidR="0028121C" w:rsidRPr="00D302C2">
        <w:t>, подписанны</w:t>
      </w:r>
      <w:r w:rsidR="006936BF">
        <w:t>е</w:t>
      </w:r>
      <w:r w:rsidR="0028121C" w:rsidRPr="00D302C2">
        <w:t xml:space="preserve"> </w:t>
      </w:r>
      <w:r w:rsidR="006936BF" w:rsidRPr="006936BF">
        <w:t xml:space="preserve">лоты </w:t>
      </w:r>
      <w:r w:rsidR="004D3CAD">
        <w:t>№№ 501.1., 501.2, 501.3.,501.4.</w:t>
      </w:r>
      <w:r w:rsidR="004D3CAD" w:rsidRPr="00D67B56">
        <w:t xml:space="preserve"> </w:t>
      </w:r>
      <w:r w:rsidR="004D3CAD" w:rsidRPr="00D67B56">
        <w:rPr>
          <w:szCs w:val="16"/>
        </w:rPr>
        <w:t xml:space="preserve">(Форма </w:t>
      </w:r>
      <w:r w:rsidR="0074329F">
        <w:rPr>
          <w:szCs w:val="16"/>
        </w:rPr>
        <w:t>4.1</w:t>
      </w:r>
      <w:r w:rsidR="004D3CAD">
        <w:rPr>
          <w:szCs w:val="16"/>
        </w:rPr>
        <w:t>-</w:t>
      </w:r>
      <w:r w:rsidR="0074329F">
        <w:rPr>
          <w:szCs w:val="16"/>
        </w:rPr>
        <w:t>4.4</w:t>
      </w:r>
      <w:r w:rsidR="004D3CAD" w:rsidRPr="00D67B56">
        <w:rPr>
          <w:szCs w:val="16"/>
        </w:rPr>
        <w:t>)</w:t>
      </w:r>
      <w:r w:rsidR="0028121C" w:rsidRPr="00D302C2">
        <w:rPr>
          <w:szCs w:val="16"/>
        </w:rPr>
        <w:t xml:space="preserve">, </w:t>
      </w:r>
      <w:r w:rsidR="0028121C"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AA64A4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74329F">
        <w:t>.1</w:t>
      </w:r>
      <w:r w:rsidR="00A440BA" w:rsidRPr="00A440BA">
        <w:t>-</w:t>
      </w:r>
      <w:r w:rsidR="0074329F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74329F">
        <w:t>.1</w:t>
      </w:r>
      <w:r w:rsidRPr="007D6905">
        <w:t>-</w:t>
      </w:r>
      <w:r w:rsidR="0074329F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1D1C50" w:rsidRPr="001D1C50">
        <w:rPr>
          <w:b/>
        </w:rPr>
        <w:t>11</w:t>
      </w:r>
      <w:r w:rsidRPr="000127F9">
        <w:rPr>
          <w:b/>
        </w:rPr>
        <w:t xml:space="preserve">» </w:t>
      </w:r>
      <w:r w:rsidR="001D1C50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CA1D52" w:rsidRDefault="006936BF" w:rsidP="006936BF">
      <w:pPr>
        <w:ind w:firstLine="708"/>
        <w:jc w:val="both"/>
        <w:rPr>
          <w:rFonts w:eastAsia="Calibri"/>
        </w:rPr>
      </w:pPr>
      <w:r w:rsidRPr="00CA1D52">
        <w:rPr>
          <w:rFonts w:eastAsia="Calibri"/>
        </w:rPr>
        <w:t xml:space="preserve">Начальник </w:t>
      </w:r>
      <w:r w:rsidR="00CA1D52" w:rsidRPr="00CA1D52">
        <w:rPr>
          <w:rFonts w:eastAsia="Calibri"/>
        </w:rPr>
        <w:t>Департамента ГТМ</w:t>
      </w:r>
    </w:p>
    <w:p w:rsidR="006936BF" w:rsidRPr="00CA1D52" w:rsidRDefault="00CA1D52" w:rsidP="006936BF">
      <w:pPr>
        <w:ind w:firstLine="708"/>
        <w:jc w:val="both"/>
        <w:rPr>
          <w:rFonts w:eastAsia="Calibri"/>
        </w:rPr>
      </w:pPr>
      <w:r w:rsidRPr="00CA1D52">
        <w:rPr>
          <w:rFonts w:eastAsia="Calibri"/>
        </w:rPr>
        <w:t>Давиденко Игорь Станиславович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CA1D52">
        <w:rPr>
          <w:rFonts w:eastAsia="Calibri"/>
        </w:rPr>
        <w:t>тел. (34643) 43</w:t>
      </w:r>
      <w:r w:rsidR="00CA1D52" w:rsidRPr="00CA1D52">
        <w:rPr>
          <w:rFonts w:eastAsia="Calibri"/>
        </w:rPr>
        <w:t>202</w:t>
      </w:r>
      <w:r w:rsidRPr="00CA1D52">
        <w:rPr>
          <w:rFonts w:eastAsia="Calibri"/>
        </w:rPr>
        <w:t>,</w:t>
      </w:r>
      <w:r w:rsidRPr="00CA1D52">
        <w:rPr>
          <w:rFonts w:eastAsia="Calibri"/>
          <w:u w:val="single"/>
        </w:rPr>
        <w:t xml:space="preserve"> </w:t>
      </w:r>
      <w:hyperlink r:id="rId8" w:history="1">
        <w:r w:rsidR="00CA1D52" w:rsidRPr="00CA1D52">
          <w:rPr>
            <w:rStyle w:val="af5"/>
            <w:rFonts w:eastAsia="Calibri"/>
            <w:lang w:val="en-US"/>
          </w:rPr>
          <w:t>DavidenkoIS</w:t>
        </w:r>
        <w:r w:rsidR="00CA1D52" w:rsidRPr="00CA1D52">
          <w:rPr>
            <w:rStyle w:val="af5"/>
            <w:rFonts w:eastAsia="Calibri"/>
          </w:rPr>
          <w:t>@mng.slavneft.ru</w:t>
        </w:r>
      </w:hyperlink>
      <w:r w:rsidRPr="00CA1D52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6936BF" w:rsidRPr="00CA1D52" w:rsidRDefault="006936BF" w:rsidP="006936BF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 xml:space="preserve">Ведущий геолог отдела </w:t>
      </w:r>
      <w:r w:rsidR="00CA1D52" w:rsidRPr="00CA1D52">
        <w:rPr>
          <w:rFonts w:eastAsia="Calibri"/>
        </w:rPr>
        <w:t>планирования геолого-технических мероприятий</w:t>
      </w:r>
    </w:p>
    <w:p w:rsidR="006936BF" w:rsidRPr="00CA1D52" w:rsidRDefault="00CA1D52" w:rsidP="006936BF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>Краева Ол</w:t>
      </w:r>
      <w:r>
        <w:rPr>
          <w:rFonts w:eastAsia="Calibri"/>
        </w:rPr>
        <w:t>ь</w:t>
      </w:r>
      <w:r w:rsidRPr="00CA1D52">
        <w:rPr>
          <w:rFonts w:eastAsia="Calibri"/>
        </w:rPr>
        <w:t>га Юрьевна</w:t>
      </w:r>
    </w:p>
    <w:p w:rsidR="006936BF" w:rsidRPr="00CA1D52" w:rsidRDefault="006936BF" w:rsidP="006936BF">
      <w:pPr>
        <w:ind w:left="709"/>
        <w:jc w:val="both"/>
        <w:rPr>
          <w:rStyle w:val="af5"/>
          <w:rFonts w:eastAsia="Calibri"/>
        </w:rPr>
      </w:pPr>
      <w:r w:rsidRPr="00CA1D52">
        <w:rPr>
          <w:rFonts w:eastAsia="Calibri"/>
        </w:rPr>
        <w:t xml:space="preserve">тел. 8-(34643) </w:t>
      </w:r>
      <w:r w:rsidR="00CA1D52" w:rsidRPr="00CA1D52">
        <w:rPr>
          <w:rFonts w:eastAsia="Calibri"/>
        </w:rPr>
        <w:t>46-063</w:t>
      </w:r>
      <w:r w:rsidRPr="00CA1D52">
        <w:rPr>
          <w:rFonts w:eastAsia="Calibri"/>
        </w:rPr>
        <w:t xml:space="preserve">, </w:t>
      </w:r>
      <w:hyperlink r:id="rId9" w:history="1">
        <w:proofErr w:type="spellStart"/>
        <w:r w:rsidR="00CA1D52" w:rsidRPr="00CA1D52">
          <w:rPr>
            <w:rStyle w:val="af5"/>
            <w:rFonts w:eastAsia="Calibri"/>
          </w:rPr>
          <w:t>KraevaOU</w:t>
        </w:r>
      </w:hyperlink>
      <w:r w:rsidR="00CA1D52" w:rsidRPr="00CA1D52">
        <w:rPr>
          <w:rStyle w:val="af5"/>
          <w:rFonts w:eastAsia="Calibri"/>
        </w:rPr>
        <w:t>@</w:t>
      </w:r>
      <w:proofErr w:type="spellEnd"/>
      <w:r w:rsidR="00CA1D52" w:rsidRPr="00CA1D52">
        <w:rPr>
          <w:rStyle w:val="af5"/>
          <w:rFonts w:eastAsia="Calibri"/>
        </w:rPr>
        <w:t xml:space="preserve"> </w:t>
      </w:r>
      <w:proofErr w:type="spellStart"/>
      <w:r w:rsidR="00CA1D52" w:rsidRPr="00CA1D52">
        <w:rPr>
          <w:rStyle w:val="af5"/>
          <w:rFonts w:eastAsia="Calibri"/>
        </w:rPr>
        <w:t>mng.slavneft.ru</w:t>
      </w:r>
      <w:proofErr w:type="spellEnd"/>
    </w:p>
    <w:p w:rsidR="006936BF" w:rsidRPr="00CA1D52" w:rsidRDefault="006936BF" w:rsidP="006936BF">
      <w:pPr>
        <w:ind w:firstLine="708"/>
        <w:jc w:val="both"/>
        <w:rPr>
          <w:rStyle w:val="af5"/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CA1D5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Холостова Анастасия Сергеевна </w:t>
      </w:r>
    </w:p>
    <w:p w:rsidR="006936BF" w:rsidRPr="00CA1D52" w:rsidRDefault="006936BF" w:rsidP="006936BF">
      <w:pPr>
        <w:ind w:firstLine="708"/>
        <w:jc w:val="both"/>
        <w:rPr>
          <w:rStyle w:val="af5"/>
          <w:rFonts w:eastAsia="Calibri"/>
        </w:rPr>
      </w:pPr>
      <w:r w:rsidRPr="006936BF">
        <w:rPr>
          <w:rFonts w:eastAsia="Calibri"/>
        </w:rPr>
        <w:t>тел. (34643) 47-</w:t>
      </w:r>
      <w:r w:rsidR="00CA1D52">
        <w:rPr>
          <w:rFonts w:eastAsia="Calibri"/>
        </w:rPr>
        <w:t>736</w:t>
      </w:r>
      <w:r w:rsidRPr="006936BF">
        <w:rPr>
          <w:rFonts w:eastAsia="Calibri"/>
        </w:rPr>
        <w:t xml:space="preserve">,  </w:t>
      </w:r>
      <w:proofErr w:type="spellStart"/>
      <w:r w:rsidRPr="00CA1D52">
        <w:rPr>
          <w:rStyle w:val="af5"/>
          <w:rFonts w:eastAsia="Calibri"/>
        </w:rPr>
        <w:t>H</w:t>
      </w:r>
      <w:r w:rsidR="00CA1D52" w:rsidRPr="00CA1D52">
        <w:rPr>
          <w:rStyle w:val="af5"/>
          <w:rFonts w:eastAsia="Calibri"/>
        </w:rPr>
        <w:t>olostovaAS</w:t>
      </w:r>
      <w:r w:rsidRPr="00CA1D52">
        <w:rPr>
          <w:rStyle w:val="af5"/>
          <w:rFonts w:eastAsia="Calibri"/>
        </w:rPr>
        <w:t>@</w:t>
      </w:r>
      <w:proofErr w:type="spellEnd"/>
      <w:r w:rsidRPr="00CA1D52">
        <w:rPr>
          <w:rStyle w:val="af5"/>
          <w:rFonts w:eastAsia="Calibri"/>
        </w:rPr>
        <w:t xml:space="preserve"> </w:t>
      </w:r>
      <w:proofErr w:type="spellStart"/>
      <w:r w:rsidRPr="00CA1D52">
        <w:rPr>
          <w:rStyle w:val="af5"/>
          <w:rFonts w:eastAsia="Calibri"/>
        </w:rPr>
        <w:t>mng.slavneft.ru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492A5E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bookmarkStart w:id="0" w:name="_GoBack"/>
      <w:bookmarkEnd w:id="0"/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lastRenderedPageBreak/>
        <w:t>тел. (34643) 46-</w:t>
      </w:r>
      <w:r w:rsidR="00492A5E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5"/>
            <w:rFonts w:eastAsia="Calibri"/>
            <w:lang w:val="en-US"/>
          </w:rPr>
          <w:t>Tender</w:t>
        </w:r>
        <w:r w:rsidRPr="00C96303">
          <w:rPr>
            <w:rStyle w:val="af5"/>
            <w:rFonts w:eastAsia="Calibri"/>
          </w:rPr>
          <w:t>@</w:t>
        </w:r>
        <w:r w:rsidRPr="00C96303">
          <w:rPr>
            <w:rStyle w:val="af5"/>
            <w:rFonts w:eastAsia="Calibri"/>
            <w:lang w:val="en-US"/>
          </w:rPr>
          <w:t>mng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slavneft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5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916B06">
        <w:rPr>
          <w:b/>
          <w:sz w:val="22"/>
          <w:szCs w:val="22"/>
        </w:rPr>
        <w:t>722</w:t>
      </w:r>
      <w:r w:rsidRPr="000A24D5">
        <w:rPr>
          <w:b/>
          <w:sz w:val="22"/>
          <w:szCs w:val="22"/>
        </w:rPr>
        <w:t xml:space="preserve">/ТК/2014 </w:t>
      </w:r>
      <w:r w:rsidR="001D1C50">
        <w:rPr>
          <w:b/>
          <w:sz w:val="22"/>
          <w:szCs w:val="22"/>
        </w:rPr>
        <w:t>от «30</w:t>
      </w:r>
      <w:r w:rsidR="00D96FC8" w:rsidRPr="00D96FC8">
        <w:rPr>
          <w:b/>
          <w:sz w:val="22"/>
          <w:szCs w:val="22"/>
        </w:rPr>
        <w:t>»</w:t>
      </w:r>
      <w:r w:rsidR="001D1C50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EC627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FD2A3D">
        <w:rPr>
          <w:b/>
          <w:sz w:val="22"/>
          <w:szCs w:val="22"/>
        </w:rPr>
        <w:t>заключения Договора</w:t>
      </w:r>
      <w:r w:rsidR="00A71753" w:rsidRPr="00FD2A3D">
        <w:rPr>
          <w:b/>
        </w:rPr>
        <w:t xml:space="preserve"> </w:t>
      </w:r>
      <w:r w:rsidR="00916B06" w:rsidRPr="00FD2A3D">
        <w:rPr>
          <w:b/>
        </w:rPr>
        <w:t>н</w:t>
      </w:r>
      <w:r w:rsidR="00916B06" w:rsidRPr="00FD2A3D">
        <w:rPr>
          <w:b/>
          <w:sz w:val="22"/>
          <w:szCs w:val="22"/>
        </w:rPr>
        <w:t>а производство прострелочно-взрывных работ (ПВР) при текущем и капитальном ремонте скважин (ТКРС)</w:t>
      </w:r>
      <w:r w:rsidR="00916B06" w:rsidRPr="00916B06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E67AA2">
              <w:rPr>
                <w:szCs w:val="16"/>
              </w:rPr>
              <w:t>01.</w:t>
            </w:r>
            <w:r w:rsidR="00D96FC8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D96FC8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C360F" w:rsidRDefault="00556572" w:rsidP="00AF0C6E">
            <w:r w:rsidRPr="002C360F">
              <w:t>Увеличение (+30%)/ уменьшение (-30%)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142D3E">
        <w:rPr>
          <w:rFonts w:ascii="Times New Roman" w:hAnsi="Times New Roman"/>
        </w:rPr>
        <w:t xml:space="preserve"> </w:t>
      </w:r>
      <w:r w:rsidR="00142D3E" w:rsidRPr="007A6ACD">
        <w:rPr>
          <w:rFonts w:ascii="Times New Roman" w:hAnsi="Times New Roman"/>
        </w:rPr>
        <w:t>марта</w:t>
      </w:r>
      <w:r w:rsidRPr="007A6ACD">
        <w:rPr>
          <w:rFonts w:ascii="Times New Roman" w:hAnsi="Times New Roman"/>
        </w:rPr>
        <w:t xml:space="preserve">  201</w:t>
      </w:r>
      <w:r w:rsidR="00142D3E" w:rsidRPr="007A6ACD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D1C50">
            <w:pPr>
              <w:jc w:val="right"/>
            </w:pPr>
            <w:r w:rsidRPr="000127F9">
              <w:t>Протокол  № ___</w:t>
            </w:r>
            <w:r w:rsidR="001D1C50">
              <w:rPr>
                <w:u w:val="single"/>
              </w:rPr>
              <w:t>355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D1C50">
            <w:pPr>
              <w:jc w:val="right"/>
            </w:pPr>
            <w:r w:rsidRPr="000127F9">
              <w:t>«_</w:t>
            </w:r>
            <w:r w:rsidR="001D1C50">
              <w:rPr>
                <w:u w:val="single"/>
              </w:rPr>
              <w:t>30</w:t>
            </w:r>
            <w:r w:rsidRPr="000127F9">
              <w:t xml:space="preserve">_» </w:t>
            </w:r>
            <w:r w:rsidR="001D1C50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16B06" w:rsidRDefault="00916B06" w:rsidP="00916B06">
      <w:pPr>
        <w:ind w:firstLine="708"/>
        <w:jc w:val="center"/>
        <w:rPr>
          <w:b/>
          <w:sz w:val="22"/>
          <w:szCs w:val="22"/>
        </w:rPr>
      </w:pPr>
    </w:p>
    <w:p w:rsidR="00916B06" w:rsidRPr="00790E12" w:rsidRDefault="00916B06" w:rsidP="00916B06">
      <w:pPr>
        <w:ind w:firstLine="708"/>
        <w:jc w:val="center"/>
        <w:rPr>
          <w:b/>
          <w:sz w:val="22"/>
          <w:szCs w:val="22"/>
        </w:rPr>
      </w:pPr>
      <w:r w:rsidRPr="00790E12">
        <w:rPr>
          <w:b/>
          <w:sz w:val="22"/>
          <w:szCs w:val="22"/>
        </w:rPr>
        <w:t>ТРЕБОВАНИЯ К ПРЕДМЕТУ ОФЕРТЫ</w:t>
      </w:r>
    </w:p>
    <w:p w:rsidR="00916B06" w:rsidRPr="00790E12" w:rsidRDefault="00916B06" w:rsidP="00916B06">
      <w:pPr>
        <w:spacing w:line="276" w:lineRule="auto"/>
        <w:ind w:firstLine="708"/>
        <w:jc w:val="center"/>
        <w:rPr>
          <w:b/>
          <w:sz w:val="22"/>
          <w:szCs w:val="22"/>
        </w:rPr>
      </w:pPr>
      <w:r w:rsidRPr="00790E12">
        <w:rPr>
          <w:b/>
          <w:sz w:val="22"/>
          <w:szCs w:val="22"/>
        </w:rPr>
        <w:t>(техническое задание)</w:t>
      </w:r>
    </w:p>
    <w:p w:rsidR="00916B06" w:rsidRPr="00790E12" w:rsidRDefault="00916B06" w:rsidP="00916B06">
      <w:pPr>
        <w:spacing w:line="276" w:lineRule="auto"/>
        <w:ind w:firstLine="708"/>
        <w:jc w:val="right"/>
        <w:rPr>
          <w:sz w:val="22"/>
          <w:szCs w:val="22"/>
        </w:rPr>
      </w:pPr>
    </w:p>
    <w:p w:rsidR="00916B06" w:rsidRPr="00790E12" w:rsidRDefault="00916B06" w:rsidP="00916B0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90E12">
        <w:rPr>
          <w:b/>
        </w:rPr>
        <w:t>Общие положения: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916B06" w:rsidRPr="00977634" w:rsidRDefault="00916B06" w:rsidP="00916B06">
      <w:pPr>
        <w:numPr>
          <w:ilvl w:val="0"/>
          <w:numId w:val="15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>
        <w:t xml:space="preserve">   </w:t>
      </w:r>
      <w:r w:rsidRPr="00790E12">
        <w:t xml:space="preserve">Тип сделки: </w:t>
      </w:r>
      <w:r w:rsidRPr="00977634">
        <w:rPr>
          <w:b/>
        </w:rPr>
        <w:t xml:space="preserve">№ 501 «Производство прострелочно-взрывных работ при текущем и капитальном ремонте скважин» </w:t>
      </w: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Вид исследования (предмет договора): «Производство </w:t>
      </w:r>
      <w:r>
        <w:t>прострелочно-взрывных работ</w:t>
      </w:r>
      <w:r w:rsidRPr="00790E12">
        <w:t xml:space="preserve"> (</w:t>
      </w:r>
      <w:r>
        <w:t>ПВР</w:t>
      </w:r>
      <w:r w:rsidRPr="00790E12">
        <w:t>) при текущем и капитальном ремонте скважин (ТКРС)»</w:t>
      </w: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Заказчик: </w:t>
      </w:r>
      <w:r w:rsidRPr="00790E12">
        <w:rPr>
          <w:b/>
        </w:rPr>
        <w:t>ОАО «СН-МНГ»</w:t>
      </w: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Плановые сроки производства геофизических исследований: </w:t>
      </w:r>
    </w:p>
    <w:p w:rsidR="00916B06" w:rsidRPr="00790E12" w:rsidRDefault="00916B06" w:rsidP="00916B0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790E12">
        <w:rPr>
          <w:b/>
          <w:lang w:eastAsia="en-US"/>
        </w:rPr>
        <w:t>01.01.</w:t>
      </w:r>
      <w:r>
        <w:rPr>
          <w:b/>
          <w:lang w:eastAsia="en-US"/>
        </w:rPr>
        <w:t>20</w:t>
      </w:r>
      <w:r w:rsidRPr="00790E12">
        <w:rPr>
          <w:b/>
          <w:lang w:eastAsia="en-US"/>
        </w:rPr>
        <w:t>15г. – 31.12.2015г.</w:t>
      </w: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>Объекты работ: Месторождения ОАО «СН-МНГ»</w:t>
      </w:r>
    </w:p>
    <w:p w:rsidR="00916B06" w:rsidRPr="00790E12" w:rsidRDefault="00916B06" w:rsidP="00916B0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Объем работ: </w:t>
      </w: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</w:p>
    <w:p w:rsidR="00916B06" w:rsidRPr="00530589" w:rsidRDefault="00916B06" w:rsidP="00916B06">
      <w:pPr>
        <w:pStyle w:val="aff7"/>
        <w:autoSpaceDE w:val="0"/>
        <w:autoSpaceDN w:val="0"/>
        <w:adjustRightInd w:val="0"/>
        <w:ind w:left="1428"/>
        <w:jc w:val="both"/>
      </w:pPr>
      <w:r w:rsidRPr="00530589">
        <w:t xml:space="preserve">- ЛОТ № 501.1.  – </w:t>
      </w:r>
      <w:r w:rsidRPr="00530589">
        <w:rPr>
          <w:lang w:val="en-US"/>
        </w:rPr>
        <w:t>788</w:t>
      </w:r>
      <w:r w:rsidRPr="00530589">
        <w:t xml:space="preserve"> операций;</w:t>
      </w:r>
    </w:p>
    <w:p w:rsidR="00916B06" w:rsidRPr="00530589" w:rsidRDefault="00916B06" w:rsidP="00916B06">
      <w:pPr>
        <w:pStyle w:val="aff7"/>
        <w:autoSpaceDE w:val="0"/>
        <w:autoSpaceDN w:val="0"/>
        <w:adjustRightInd w:val="0"/>
        <w:ind w:left="1428"/>
        <w:jc w:val="both"/>
      </w:pPr>
      <w:r w:rsidRPr="00530589">
        <w:t xml:space="preserve">- ЛОТ № 501.2.  – </w:t>
      </w:r>
      <w:r w:rsidRPr="00530589">
        <w:rPr>
          <w:lang w:val="en-US"/>
        </w:rPr>
        <w:t xml:space="preserve"> 783</w:t>
      </w:r>
      <w:r w:rsidRPr="00530589">
        <w:t xml:space="preserve"> операции; </w:t>
      </w:r>
    </w:p>
    <w:p w:rsidR="00916B06" w:rsidRPr="00530589" w:rsidRDefault="00916B06" w:rsidP="00916B06">
      <w:pPr>
        <w:pStyle w:val="aff7"/>
        <w:autoSpaceDE w:val="0"/>
        <w:autoSpaceDN w:val="0"/>
        <w:adjustRightInd w:val="0"/>
        <w:ind w:left="1428"/>
        <w:jc w:val="both"/>
      </w:pPr>
      <w:r w:rsidRPr="00530589">
        <w:t>- ЛОТ № 501.3.  –</w:t>
      </w:r>
      <w:r w:rsidRPr="00530589">
        <w:rPr>
          <w:lang w:val="en-US"/>
        </w:rPr>
        <w:t xml:space="preserve"> 229</w:t>
      </w:r>
      <w:r w:rsidRPr="00530589">
        <w:t xml:space="preserve"> операций;</w:t>
      </w:r>
    </w:p>
    <w:p w:rsidR="00916B06" w:rsidRPr="00790E12" w:rsidRDefault="00916B06" w:rsidP="00916B06">
      <w:pPr>
        <w:pStyle w:val="aff7"/>
        <w:autoSpaceDE w:val="0"/>
        <w:autoSpaceDN w:val="0"/>
        <w:adjustRightInd w:val="0"/>
        <w:ind w:left="1428"/>
        <w:jc w:val="both"/>
      </w:pPr>
      <w:r w:rsidRPr="00530589">
        <w:t xml:space="preserve">- ЛОТ № 501.4.  – </w:t>
      </w:r>
      <w:r w:rsidRPr="00530589">
        <w:rPr>
          <w:lang w:val="en-US"/>
        </w:rPr>
        <w:t xml:space="preserve">72 </w:t>
      </w:r>
      <w:r w:rsidRPr="00530589">
        <w:t>операции.</w:t>
      </w:r>
    </w:p>
    <w:p w:rsidR="00916B06" w:rsidRPr="00790E12" w:rsidRDefault="00916B06" w:rsidP="00916B0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Стоимость договора  (в рублях без учета НДС 18%): </w:t>
      </w: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</w:t>
      </w:r>
      <w:r>
        <w:t>501</w:t>
      </w:r>
      <w:r w:rsidRPr="00790E12">
        <w:t>.1.  без объявления стартовой стоимости;</w:t>
      </w: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</w:t>
      </w:r>
      <w:r>
        <w:t>501</w:t>
      </w:r>
      <w:r w:rsidRPr="00790E12">
        <w:t>.2.  без объявления стартовой стоимости;</w:t>
      </w: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  <w:r>
        <w:t xml:space="preserve">          -ЛОТ № 501</w:t>
      </w:r>
      <w:r w:rsidRPr="00790E12">
        <w:t>.3</w:t>
      </w:r>
      <w:r w:rsidR="009E3453">
        <w:t>.</w:t>
      </w:r>
      <w:r w:rsidRPr="00790E12">
        <w:t xml:space="preserve">   без объявления стартовой стоимости;</w:t>
      </w:r>
    </w:p>
    <w:p w:rsidR="00916B06" w:rsidRPr="00790E12" w:rsidRDefault="00916B06" w:rsidP="00916B06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</w:t>
      </w:r>
      <w:r>
        <w:t>501</w:t>
      </w:r>
      <w:r w:rsidRPr="00790E12">
        <w:t>.4.  без объявления стартовой стоимости.</w:t>
      </w:r>
    </w:p>
    <w:p w:rsidR="00916B06" w:rsidRPr="00790E12" w:rsidRDefault="00916B06" w:rsidP="00916B06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</w:p>
    <w:p w:rsidR="00916B06" w:rsidRPr="00790E12" w:rsidRDefault="00916B06" w:rsidP="00916B06">
      <w:pPr>
        <w:numPr>
          <w:ilvl w:val="0"/>
          <w:numId w:val="15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90E12">
        <w:t xml:space="preserve">Порядок оплаты: Текст Договора не предусматривает наличие предоплаты. 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709"/>
        <w:jc w:val="both"/>
      </w:pPr>
      <w:r w:rsidRPr="00790E12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790E12">
        <w:t>с даты получения</w:t>
      </w:r>
      <w:proofErr w:type="gramEnd"/>
      <w:r w:rsidRPr="00790E12">
        <w:t xml:space="preserve"> от Подрядчика оригиналов счета-фактуры и Акта приемки выполненного объема геофизических исследований.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916B06" w:rsidRPr="00790E12" w:rsidRDefault="00916B06" w:rsidP="00916B0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90E12">
        <w:rPr>
          <w:b/>
        </w:rPr>
        <w:t xml:space="preserve">  Основные требования к выполнению геофизических исследований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916B06" w:rsidRPr="00790E12" w:rsidRDefault="00916B06" w:rsidP="00916B06">
      <w:pPr>
        <w:pStyle w:val="af3"/>
        <w:spacing w:line="276" w:lineRule="auto"/>
        <w:ind w:left="142" w:firstLine="566"/>
        <w:jc w:val="both"/>
      </w:pPr>
      <w:r w:rsidRPr="00790E12">
        <w:t xml:space="preserve">Качественное, своевременное выполнение полного объема </w:t>
      </w:r>
      <w:r>
        <w:t xml:space="preserve">прострелочно-взрывных работ (ПВР) </w:t>
      </w:r>
      <w:r w:rsidRPr="00790E12">
        <w:t>собственными силами подрядной организации, на основании условий предлагаемых к заключению Договора подряда (ФОРМА 6)  и требованиям, изложенным в Техническом задании (Ф</w:t>
      </w:r>
      <w:r>
        <w:t>ОРМА</w:t>
      </w:r>
      <w:r w:rsidRPr="00790E12">
        <w:t xml:space="preserve"> 5).</w:t>
      </w:r>
    </w:p>
    <w:p w:rsidR="00916B06" w:rsidRPr="00790E12" w:rsidRDefault="00916B06" w:rsidP="00916B06">
      <w:pPr>
        <w:autoSpaceDE w:val="0"/>
        <w:autoSpaceDN w:val="0"/>
        <w:adjustRightInd w:val="0"/>
        <w:ind w:left="644"/>
        <w:jc w:val="both"/>
      </w:pPr>
    </w:p>
    <w:p w:rsidR="00916B06" w:rsidRPr="00790E12" w:rsidRDefault="00916B06" w:rsidP="00916B0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90E12">
        <w:rPr>
          <w:b/>
        </w:rPr>
        <w:t>Условия выполнения исследований</w:t>
      </w:r>
    </w:p>
    <w:p w:rsidR="00916B06" w:rsidRPr="00790E12" w:rsidRDefault="00916B06" w:rsidP="00916B06">
      <w:pPr>
        <w:autoSpaceDE w:val="0"/>
        <w:autoSpaceDN w:val="0"/>
        <w:adjustRightInd w:val="0"/>
        <w:jc w:val="both"/>
        <w:rPr>
          <w:b/>
        </w:rPr>
      </w:pPr>
    </w:p>
    <w:p w:rsidR="00916B06" w:rsidRPr="00790E12" w:rsidRDefault="00916B06" w:rsidP="00916B06">
      <w:pPr>
        <w:pStyle w:val="af3"/>
        <w:spacing w:line="276" w:lineRule="auto"/>
        <w:ind w:left="142" w:firstLine="566"/>
        <w:jc w:val="both"/>
      </w:pPr>
      <w:r w:rsidRPr="00790E12">
        <w:t xml:space="preserve">3.1. При выполнении </w:t>
      </w:r>
      <w:r>
        <w:t xml:space="preserve">прострелочно-взрывных работ </w:t>
      </w:r>
      <w:r w:rsidRPr="00790E12">
        <w:t>на объектах ОАО «СН-МНГ» Подрядчик руководствуется:</w:t>
      </w:r>
    </w:p>
    <w:p w:rsidR="00916B06" w:rsidRPr="00790E12" w:rsidRDefault="00916B06" w:rsidP="00916B06">
      <w:pPr>
        <w:pStyle w:val="aff7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 w:rsidRPr="00790E12">
        <w:t>Правилами геофизических исследований и работ в нефтяных и газовых скважинах (ПГИРС)" (Приказ МПР РФ N 323, Минтопэнерго РФ N 445 от 28.12.1999, Москва 1999);</w:t>
      </w:r>
    </w:p>
    <w:p w:rsidR="00916B06" w:rsidRPr="00790E12" w:rsidRDefault="00916B06" w:rsidP="00916B06">
      <w:pPr>
        <w:pStyle w:val="aff7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proofErr w:type="gramStart"/>
      <w:r w:rsidRPr="00790E12">
        <w:t>Техническими инструкциями по видам ГИРС (РД 153-39,0-072-01 утв. Приказом Минэнерго РФ от 07.05.2001 N 134</w:t>
      </w:r>
      <w:proofErr w:type="gramEnd"/>
    </w:p>
    <w:p w:rsidR="00916B06" w:rsidRPr="00790E12" w:rsidRDefault="00916B06" w:rsidP="00916B06">
      <w:pPr>
        <w:pStyle w:val="aff7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 w:rsidRPr="00790E12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790E12">
        <w:t>.М</w:t>
      </w:r>
      <w:proofErr w:type="gramEnd"/>
      <w:r w:rsidRPr="00790E12">
        <w:t>осква, 2001г.,утв.Приказом Минэнерго РФ от 07.05.2001 N 134);</w:t>
      </w:r>
    </w:p>
    <w:p w:rsidR="00916B06" w:rsidRPr="00790E12" w:rsidRDefault="00916B06" w:rsidP="00916B06">
      <w:pPr>
        <w:pStyle w:val="aff7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 w:rsidRPr="00790E12">
        <w:t xml:space="preserve"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.Зарегистрировано в Минюсте РФ 20.06.2003 N 4812). </w:t>
      </w:r>
    </w:p>
    <w:p w:rsidR="00916B06" w:rsidRPr="00790E12" w:rsidRDefault="00916B06" w:rsidP="00916B06">
      <w:pPr>
        <w:pStyle w:val="aff7"/>
        <w:autoSpaceDE w:val="0"/>
        <w:autoSpaceDN w:val="0"/>
        <w:adjustRightInd w:val="0"/>
        <w:spacing w:line="276" w:lineRule="auto"/>
        <w:jc w:val="both"/>
      </w:pPr>
    </w:p>
    <w:p w:rsidR="00916B06" w:rsidRPr="00790E12" w:rsidRDefault="00916B06" w:rsidP="00916B06">
      <w:pPr>
        <w:pStyle w:val="af3"/>
        <w:spacing w:line="276" w:lineRule="auto"/>
        <w:ind w:left="142" w:firstLine="566"/>
        <w:jc w:val="both"/>
      </w:pPr>
      <w:r w:rsidRPr="00790E12">
        <w:t>3.2. 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</w:t>
      </w:r>
      <w:r>
        <w:t>ОРМЕ</w:t>
      </w:r>
      <w:r w:rsidRPr="00790E12">
        <w:t xml:space="preserve"> 6).</w:t>
      </w:r>
    </w:p>
    <w:p w:rsidR="00916B06" w:rsidRPr="00790E12" w:rsidRDefault="00916B06" w:rsidP="00916B06">
      <w:pPr>
        <w:pStyle w:val="afd"/>
        <w:spacing w:after="0" w:line="276" w:lineRule="auto"/>
        <w:ind w:left="1428"/>
        <w:jc w:val="both"/>
        <w:rPr>
          <w:spacing w:val="-2"/>
        </w:rPr>
      </w:pPr>
    </w:p>
    <w:p w:rsidR="00916B06" w:rsidRPr="00790E12" w:rsidRDefault="00916B06" w:rsidP="00916B06">
      <w:pPr>
        <w:pStyle w:val="af3"/>
        <w:spacing w:line="276" w:lineRule="auto"/>
        <w:ind w:left="142" w:firstLine="566"/>
        <w:jc w:val="both"/>
      </w:pPr>
      <w:r w:rsidRPr="00790E12">
        <w:t xml:space="preserve">3.3. При выполнении </w:t>
      </w:r>
      <w:r>
        <w:t>прострелочно-взрывных работ</w:t>
      </w:r>
      <w:r w:rsidRPr="00790E12">
        <w:t xml:space="preserve"> на объектах ОАО «СН-МНГ», Подрядчик:</w:t>
      </w:r>
    </w:p>
    <w:p w:rsidR="00916B06" w:rsidRPr="00790E12" w:rsidRDefault="00916B06" w:rsidP="00916B06">
      <w:pPr>
        <w:pStyle w:val="afd"/>
        <w:numPr>
          <w:ilvl w:val="0"/>
          <w:numId w:val="17"/>
        </w:numPr>
        <w:spacing w:after="0" w:line="276" w:lineRule="auto"/>
        <w:jc w:val="both"/>
        <w:rPr>
          <w:spacing w:val="-2"/>
        </w:rPr>
      </w:pPr>
      <w:r w:rsidRPr="00790E12">
        <w:rPr>
          <w:spacing w:val="-2"/>
        </w:rPr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Подрядчика;</w:t>
      </w:r>
    </w:p>
    <w:p w:rsidR="00916B06" w:rsidRPr="00790E12" w:rsidRDefault="00916B06" w:rsidP="00916B06">
      <w:pPr>
        <w:pStyle w:val="afd"/>
        <w:numPr>
          <w:ilvl w:val="0"/>
          <w:numId w:val="17"/>
        </w:numPr>
        <w:spacing w:after="0" w:line="276" w:lineRule="auto"/>
        <w:jc w:val="both"/>
        <w:rPr>
          <w:spacing w:val="-2"/>
        </w:rPr>
      </w:pPr>
      <w:r w:rsidRPr="00790E12">
        <w:rPr>
          <w:spacing w:val="-2"/>
        </w:rPr>
        <w:t>Собственными силами и средствами устраняет обстоятельства, препятствующие выполнению Работ, возникшие по вине Подрядчика;</w:t>
      </w:r>
    </w:p>
    <w:p w:rsidR="00916B06" w:rsidRPr="00790E12" w:rsidRDefault="00916B06" w:rsidP="00916B06">
      <w:pPr>
        <w:pStyle w:val="aff7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proofErr w:type="gramStart"/>
      <w:r w:rsidRPr="00790E12">
        <w:t>Обязан</w:t>
      </w:r>
      <w:proofErr w:type="gramEnd"/>
      <w:r w:rsidRPr="00790E12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916B06" w:rsidRPr="00790E12" w:rsidRDefault="00916B06" w:rsidP="00916B06">
      <w:pPr>
        <w:pStyle w:val="af3"/>
        <w:spacing w:line="276" w:lineRule="auto"/>
        <w:ind w:left="142" w:firstLine="566"/>
        <w:jc w:val="both"/>
      </w:pPr>
      <w:r w:rsidRPr="00790E12">
        <w:t xml:space="preserve"> Интерпретация полученных данных ГИС и выдача заключений осуществляются </w:t>
      </w:r>
      <w:proofErr w:type="gramStart"/>
      <w:r w:rsidRPr="00790E12">
        <w:t>Подрядчиком</w:t>
      </w:r>
      <w:proofErr w:type="gramEnd"/>
      <w:r w:rsidRPr="00790E12">
        <w:t xml:space="preserve"> и предоставляется Заказчику в соответствии с Приложением № </w:t>
      </w:r>
      <w:r>
        <w:t>11</w:t>
      </w:r>
      <w:r w:rsidRPr="00790E12">
        <w:t xml:space="preserve"> к Договору (ФОРМА 6) «Технические требования к цифровому материалу геофизических исследований скважин».</w:t>
      </w:r>
    </w:p>
    <w:p w:rsidR="00916B06" w:rsidRPr="00990C51" w:rsidRDefault="00916B06" w:rsidP="00916B06">
      <w:pPr>
        <w:pStyle w:val="af3"/>
        <w:numPr>
          <w:ilvl w:val="1"/>
          <w:numId w:val="17"/>
        </w:numPr>
        <w:spacing w:line="276" w:lineRule="auto"/>
        <w:ind w:left="142" w:firstLine="567"/>
        <w:jc w:val="both"/>
      </w:pPr>
      <w:r w:rsidRPr="00990C51">
        <w:t xml:space="preserve">Порядок оформления заявок на ПВР, порядок выполнения работ и предоставление геолого-геофизической отчетности осуществляется </w:t>
      </w:r>
      <w:proofErr w:type="gramStart"/>
      <w:r w:rsidRPr="00990C51">
        <w:t>согласно Приложения</w:t>
      </w:r>
      <w:proofErr w:type="gramEnd"/>
      <w:r w:rsidRPr="00990C51">
        <w:t xml:space="preserve"> № 1 к Договору (ФОРМА 6).</w:t>
      </w:r>
    </w:p>
    <w:p w:rsidR="00916B06" w:rsidRPr="00790E12" w:rsidRDefault="00916B06" w:rsidP="00916B06">
      <w:pPr>
        <w:pStyle w:val="af3"/>
        <w:spacing w:line="276" w:lineRule="auto"/>
        <w:ind w:left="1428"/>
        <w:jc w:val="both"/>
      </w:pP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90E12">
        <w:rPr>
          <w:b/>
        </w:rPr>
        <w:t xml:space="preserve">     4.  Основные требования к Претенденту 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t xml:space="preserve"> Наличие разрешительной документации</w:t>
      </w:r>
      <w:r>
        <w:t xml:space="preserve"> (в т.ч. лицензий)</w:t>
      </w:r>
      <w:r w:rsidRPr="00790E12">
        <w:t xml:space="preserve">, </w:t>
      </w:r>
      <w:r w:rsidRPr="00790E12">
        <w:rPr>
          <w:rFonts w:eastAsia="Arial Unicode MS"/>
        </w:rPr>
        <w:t>предусмотренной законодательством Российской Федерации</w:t>
      </w:r>
      <w:r w:rsidRPr="00790E12">
        <w:t xml:space="preserve"> для проведения </w:t>
      </w:r>
      <w:r>
        <w:t>прострелочно-взрывных работ</w:t>
      </w:r>
      <w:r w:rsidRPr="00790E12">
        <w:t xml:space="preserve"> по данному типу сделки (лицензий, санитарно-эпидемиологические заключений, допуск СРО), </w:t>
      </w:r>
      <w:r w:rsidRPr="00790E12">
        <w:rPr>
          <w:rFonts w:eastAsia="Arial Unicode MS"/>
        </w:rPr>
        <w:t>сроком действия до 31.12.201</w:t>
      </w:r>
      <w:r>
        <w:rPr>
          <w:rFonts w:eastAsia="Arial Unicode MS"/>
        </w:rPr>
        <w:t>5</w:t>
      </w:r>
      <w:r w:rsidRPr="00790E12">
        <w:rPr>
          <w:rFonts w:eastAsia="Arial Unicode MS"/>
        </w:rPr>
        <w:t xml:space="preserve"> года</w:t>
      </w:r>
      <w:r w:rsidRPr="00790E12">
        <w:t>;</w:t>
      </w:r>
    </w:p>
    <w:p w:rsidR="00916B06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lastRenderedPageBreak/>
        <w:t xml:space="preserve"> Наличие производственных мощностей,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>
        <w:t xml:space="preserve"> Наличие линейки зарядов не менее чем от 5-ти (пяти) Российских производителей перфорационных систем;</w:t>
      </w: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t xml:space="preserve"> Наличие производственной базы в районе работ;</w:t>
      </w: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t xml:space="preserve"> Наличие круглосуточной диспетчерской службы;</w:t>
      </w: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t xml:space="preserve"> Наличие интерпретационной службы;</w:t>
      </w:r>
    </w:p>
    <w:p w:rsidR="00916B06" w:rsidRPr="00790E12" w:rsidRDefault="00916B06" w:rsidP="00916B06">
      <w:pPr>
        <w:numPr>
          <w:ilvl w:val="0"/>
          <w:numId w:val="14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790E12">
        <w:t xml:space="preserve"> 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567"/>
        <w:jc w:val="both"/>
      </w:pPr>
      <w:r w:rsidRPr="00790E12">
        <w:t xml:space="preserve">   В случае победы на тендере по данному ПДО </w:t>
      </w:r>
      <w:r w:rsidRPr="00790E12">
        <w:rPr>
          <w:u w:val="single"/>
        </w:rPr>
        <w:t>Подрядчик обязан на период выполнения работ заключить  и предоставить Заказчику</w:t>
      </w:r>
      <w:r w:rsidRPr="00790E12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567"/>
        <w:jc w:val="both"/>
      </w:pPr>
      <w:r w:rsidRPr="00790E12">
        <w:t>-  смерти в результате несчастного случая;</w:t>
      </w:r>
    </w:p>
    <w:p w:rsidR="00916B06" w:rsidRDefault="00916B06" w:rsidP="00916B06">
      <w:pPr>
        <w:autoSpaceDE w:val="0"/>
        <w:autoSpaceDN w:val="0"/>
        <w:adjustRightInd w:val="0"/>
        <w:spacing w:line="276" w:lineRule="auto"/>
        <w:ind w:left="567"/>
        <w:jc w:val="both"/>
      </w:pPr>
      <w:r w:rsidRPr="00790E12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D2A3D" w:rsidRDefault="00FD2A3D" w:rsidP="00916B06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FD2A3D" w:rsidRPr="00C91F0B" w:rsidRDefault="00FD2A3D" w:rsidP="00FD2A3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2DF6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916B06" w:rsidRPr="00790E12" w:rsidRDefault="00916B06" w:rsidP="00916B06">
      <w:pPr>
        <w:autoSpaceDE w:val="0"/>
        <w:autoSpaceDN w:val="0"/>
        <w:adjustRightInd w:val="0"/>
        <w:jc w:val="both"/>
        <w:rPr>
          <w:b/>
        </w:rPr>
      </w:pPr>
    </w:p>
    <w:p w:rsidR="00916B06" w:rsidRPr="00790E12" w:rsidRDefault="00916B06" w:rsidP="00916B0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 w:rsidRPr="00790E12">
        <w:rPr>
          <w:b/>
        </w:rPr>
        <w:t xml:space="preserve">5.  Технические требования к </w:t>
      </w:r>
      <w:r>
        <w:rPr>
          <w:b/>
        </w:rPr>
        <w:t>перфорационным системам, применяемым Претендентом на объектах ОАО «СН-МНГ»</w:t>
      </w:r>
    </w:p>
    <w:p w:rsidR="00916B06" w:rsidRPr="00790E12" w:rsidRDefault="00916B06" w:rsidP="00916B06">
      <w:pPr>
        <w:autoSpaceDE w:val="0"/>
        <w:autoSpaceDN w:val="0"/>
        <w:adjustRightInd w:val="0"/>
        <w:ind w:left="709" w:hanging="709"/>
        <w:jc w:val="both"/>
      </w:pPr>
    </w:p>
    <w:p w:rsidR="00916B06" w:rsidRPr="00D7616D" w:rsidRDefault="00916B06" w:rsidP="00916B06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>
        <w:t xml:space="preserve">Наличие у производителей перфорационных систем сертификатов испытания по Российской методике СС-05, и по международной методике </w:t>
      </w:r>
      <w:r>
        <w:rPr>
          <w:lang w:val="en-US"/>
        </w:rPr>
        <w:t>API</w:t>
      </w:r>
      <w:r w:rsidRPr="00D7616D">
        <w:t xml:space="preserve"> </w:t>
      </w:r>
      <w:r>
        <w:rPr>
          <w:lang w:val="en-US"/>
        </w:rPr>
        <w:t>RP</w:t>
      </w:r>
      <w:r w:rsidRPr="00D7616D">
        <w:t xml:space="preserve"> 19</w:t>
      </w:r>
      <w:r>
        <w:rPr>
          <w:lang w:val="en-US"/>
        </w:rPr>
        <w:t>B</w:t>
      </w:r>
      <w:r w:rsidRPr="00D7616D">
        <w:t xml:space="preserve"> </w:t>
      </w:r>
      <w:r>
        <w:t>в составе перфораторов.</w:t>
      </w:r>
    </w:p>
    <w:p w:rsidR="00916B06" w:rsidRDefault="00916B06" w:rsidP="00916B06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</w:p>
    <w:p w:rsidR="00916B06" w:rsidRDefault="00916B06" w:rsidP="00916B06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</w:p>
    <w:p w:rsidR="00916B06" w:rsidRPr="00890184" w:rsidRDefault="00916B06" w:rsidP="00916B06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890184">
        <w:t xml:space="preserve">Наличие линейки зарядов </w:t>
      </w:r>
      <w:proofErr w:type="gramStart"/>
      <w:r w:rsidRPr="00890184">
        <w:t>согласно Приложения</w:t>
      </w:r>
      <w:proofErr w:type="gramEnd"/>
      <w:r w:rsidRPr="00890184">
        <w:t xml:space="preserve"> № 1 к лотам №№ 501.1., 501.2., 501.3</w:t>
      </w:r>
      <w:r w:rsidR="00642AC8" w:rsidRPr="00890184">
        <w:t>.</w:t>
      </w:r>
      <w:r w:rsidRPr="00890184">
        <w:t>, 501.4. для производства прострелочно-взрывных работ при текущем и капитальном ремонте скважин на месторождениях ОАО «СН-МНГ».</w:t>
      </w:r>
    </w:p>
    <w:p w:rsidR="00916B06" w:rsidRPr="00790E12" w:rsidRDefault="00916B06" w:rsidP="00916B06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890184">
        <w:t>Наличие кадровых ресурсов и свободных мощностей на весь период работ (01.01.2015г.-31.12.2015г.), с учетом количества прострелочно-взрывных работ по выигранным лотам.</w:t>
      </w:r>
    </w:p>
    <w:p w:rsidR="00916B06" w:rsidRDefault="00916B06" w:rsidP="00916B06"/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6349C3" w:rsidRDefault="006349C3" w:rsidP="00735EAF">
      <w:pPr>
        <w:jc w:val="right"/>
        <w:rPr>
          <w:sz w:val="22"/>
        </w:rPr>
      </w:pPr>
    </w:p>
    <w:p w:rsidR="00916B06" w:rsidRDefault="00916B06" w:rsidP="006349C3">
      <w:pPr>
        <w:jc w:val="both"/>
        <w:rPr>
          <w:rFonts w:cs="Arial"/>
          <w:szCs w:val="22"/>
        </w:rPr>
      </w:pPr>
    </w:p>
    <w:p w:rsidR="00916B06" w:rsidRDefault="00916B06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DD44B9">
      <w:pPr>
        <w:jc w:val="center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DBB" w:rsidRDefault="00F45DBB">
      <w:r>
        <w:separator/>
      </w:r>
    </w:p>
  </w:endnote>
  <w:endnote w:type="continuationSeparator" w:id="0">
    <w:p w:rsidR="00F45DBB" w:rsidRDefault="00F45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DBB" w:rsidRDefault="00F45DBB">
      <w:r>
        <w:separator/>
      </w:r>
    </w:p>
  </w:footnote>
  <w:footnote w:type="continuationSeparator" w:id="0">
    <w:p w:rsidR="00F45DBB" w:rsidRDefault="00F45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7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8"/>
  </w:num>
  <w:num w:numId="5">
    <w:abstractNumId w:val="9"/>
  </w:num>
  <w:num w:numId="6">
    <w:abstractNumId w:val="17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6"/>
  </w:num>
  <w:num w:numId="12">
    <w:abstractNumId w:val="3"/>
  </w:num>
  <w:num w:numId="13">
    <w:abstractNumId w:val="13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12"/>
  </w:num>
  <w:num w:numId="18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6F38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21D9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3E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1C50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22A8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5342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01F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EC0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4D6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2E66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021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A5E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CAD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B5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2AC8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329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6B08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6ACD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87E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184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809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6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0F9E"/>
    <w:rsid w:val="009511C1"/>
    <w:rsid w:val="00951C9D"/>
    <w:rsid w:val="009521D9"/>
    <w:rsid w:val="00957168"/>
    <w:rsid w:val="0095788C"/>
    <w:rsid w:val="009578F8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6F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C51"/>
    <w:rsid w:val="00990D91"/>
    <w:rsid w:val="00992F43"/>
    <w:rsid w:val="009933B6"/>
    <w:rsid w:val="0099566E"/>
    <w:rsid w:val="009961FF"/>
    <w:rsid w:val="009A04AB"/>
    <w:rsid w:val="009A0C4C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191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3453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3CFC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5991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6D7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6261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52C1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F50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DF6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5AC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D52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896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4B9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ABD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734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27A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5DB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A3D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EC62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EC62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EC627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EC627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EC627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EC627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EC627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EC627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EC627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EC627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EC627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EC627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EC627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EC627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EC627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EC627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EC627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EC627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EC627A"/>
    <w:pPr>
      <w:ind w:left="1920"/>
    </w:pPr>
    <w:rPr>
      <w:szCs w:val="21"/>
    </w:rPr>
  </w:style>
  <w:style w:type="paragraph" w:styleId="af1">
    <w:name w:val="Subtitle"/>
    <w:basedOn w:val="a8"/>
    <w:qFormat/>
    <w:rsid w:val="00EC627A"/>
    <w:pPr>
      <w:jc w:val="center"/>
    </w:pPr>
    <w:rPr>
      <w:b/>
      <w:bCs/>
    </w:rPr>
  </w:style>
  <w:style w:type="paragraph" w:styleId="af2">
    <w:name w:val="header"/>
    <w:basedOn w:val="a8"/>
    <w:rsid w:val="00EC627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EC627A"/>
    <w:pPr>
      <w:ind w:left="708"/>
    </w:pPr>
    <w:rPr>
      <w:lang/>
    </w:rPr>
  </w:style>
  <w:style w:type="paragraph" w:styleId="21">
    <w:name w:val="Body Text Indent 2"/>
    <w:basedOn w:val="a8"/>
    <w:rsid w:val="00EC627A"/>
    <w:pPr>
      <w:ind w:left="360"/>
    </w:pPr>
  </w:style>
  <w:style w:type="paragraph" w:styleId="31">
    <w:name w:val="Body Text Indent 3"/>
    <w:basedOn w:val="a8"/>
    <w:rsid w:val="00EC627A"/>
    <w:pPr>
      <w:ind w:left="540"/>
    </w:pPr>
  </w:style>
  <w:style w:type="paragraph" w:customStyle="1" w:styleId="a1">
    <w:name w:val="Пункт"/>
    <w:basedOn w:val="a8"/>
    <w:rsid w:val="00EC627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EC627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C627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C627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EC627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EC627A"/>
    <w:pPr>
      <w:keepNext/>
      <w:numPr>
        <w:ilvl w:val="0"/>
      </w:numPr>
    </w:pPr>
    <w:rPr>
      <w:b/>
      <w:i/>
    </w:rPr>
  </w:style>
  <w:style w:type="character" w:styleId="af5">
    <w:name w:val="Hyperlink"/>
    <w:uiPriority w:val="99"/>
    <w:rsid w:val="00EC627A"/>
    <w:rPr>
      <w:color w:val="0000FF"/>
      <w:u w:val="single"/>
    </w:rPr>
  </w:style>
  <w:style w:type="paragraph" w:customStyle="1" w:styleId="11">
    <w:name w:val="Обычный1"/>
    <w:rsid w:val="00EC627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EC627A"/>
    <w:pPr>
      <w:ind w:left="240" w:hanging="240"/>
    </w:pPr>
  </w:style>
  <w:style w:type="paragraph" w:styleId="22">
    <w:name w:val="index 2"/>
    <w:basedOn w:val="a8"/>
    <w:next w:val="a8"/>
    <w:autoRedefine/>
    <w:semiHidden/>
    <w:rsid w:val="00EC627A"/>
    <w:pPr>
      <w:ind w:left="480" w:hanging="240"/>
    </w:pPr>
  </w:style>
  <w:style w:type="paragraph" w:styleId="32">
    <w:name w:val="index 3"/>
    <w:basedOn w:val="a8"/>
    <w:next w:val="a8"/>
    <w:autoRedefine/>
    <w:semiHidden/>
    <w:rsid w:val="00EC627A"/>
    <w:pPr>
      <w:ind w:left="720" w:hanging="240"/>
    </w:pPr>
  </w:style>
  <w:style w:type="paragraph" w:styleId="41">
    <w:name w:val="index 4"/>
    <w:basedOn w:val="a8"/>
    <w:next w:val="a8"/>
    <w:autoRedefine/>
    <w:semiHidden/>
    <w:rsid w:val="00EC627A"/>
    <w:pPr>
      <w:ind w:left="960" w:hanging="240"/>
    </w:pPr>
  </w:style>
  <w:style w:type="paragraph" w:styleId="51">
    <w:name w:val="index 5"/>
    <w:basedOn w:val="a8"/>
    <w:next w:val="a8"/>
    <w:autoRedefine/>
    <w:semiHidden/>
    <w:rsid w:val="00EC627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EC627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EC627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EC627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EC627A"/>
    <w:pPr>
      <w:ind w:left="2160" w:hanging="240"/>
    </w:pPr>
  </w:style>
  <w:style w:type="paragraph" w:styleId="af6">
    <w:name w:val="index heading"/>
    <w:basedOn w:val="a8"/>
    <w:next w:val="12"/>
    <w:semiHidden/>
    <w:rsid w:val="00EC627A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EC627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EC627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sid w:val="00EC627A"/>
    <w:rPr>
      <w:sz w:val="16"/>
      <w:szCs w:val="16"/>
    </w:rPr>
  </w:style>
  <w:style w:type="paragraph" w:styleId="af9">
    <w:name w:val="annotation text"/>
    <w:basedOn w:val="a8"/>
    <w:semiHidden/>
    <w:rsid w:val="00EC627A"/>
    <w:rPr>
      <w:sz w:val="20"/>
      <w:szCs w:val="20"/>
    </w:rPr>
  </w:style>
  <w:style w:type="paragraph" w:styleId="afa">
    <w:name w:val="annotation subject"/>
    <w:basedOn w:val="af9"/>
    <w:next w:val="af9"/>
    <w:semiHidden/>
    <w:rsid w:val="00EC627A"/>
    <w:rPr>
      <w:b/>
      <w:bCs/>
    </w:rPr>
  </w:style>
  <w:style w:type="paragraph" w:styleId="afb">
    <w:name w:val="Normal (Web)"/>
    <w:basedOn w:val="a8"/>
    <w:rsid w:val="00EC627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EC627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EC627A"/>
    <w:rPr>
      <w:b/>
      <w:bCs/>
    </w:rPr>
  </w:style>
  <w:style w:type="paragraph" w:styleId="afd">
    <w:name w:val="Body Text"/>
    <w:basedOn w:val="a8"/>
    <w:link w:val="afe"/>
    <w:uiPriority w:val="99"/>
    <w:rsid w:val="00EC627A"/>
    <w:pPr>
      <w:spacing w:after="120"/>
    </w:pPr>
    <w:rPr>
      <w:lang/>
    </w:rPr>
  </w:style>
  <w:style w:type="paragraph" w:styleId="aff">
    <w:name w:val="Block Text"/>
    <w:basedOn w:val="a8"/>
    <w:rsid w:val="00EC627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EC627A"/>
    <w:rPr>
      <w:sz w:val="22"/>
      <w:szCs w:val="20"/>
    </w:rPr>
  </w:style>
  <w:style w:type="paragraph" w:styleId="33">
    <w:name w:val="Body Text 3"/>
    <w:basedOn w:val="a8"/>
    <w:rsid w:val="00EC627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EC627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C627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EC627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C627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EC627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EC627A"/>
    <w:rPr>
      <w:color w:val="800080"/>
      <w:u w:val="single"/>
    </w:rPr>
  </w:style>
  <w:style w:type="paragraph" w:customStyle="1" w:styleId="rvps31451">
    <w:name w:val="rvps31451"/>
    <w:basedOn w:val="a8"/>
    <w:rsid w:val="00EC627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EC627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EC627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EC627A"/>
  </w:style>
  <w:style w:type="paragraph" w:customStyle="1" w:styleId="a">
    <w:name w:val="Стиль заголовок"/>
    <w:basedOn w:val="a8"/>
    <w:rsid w:val="00EC627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EC627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character" w:customStyle="1" w:styleId="af4">
    <w:name w:val="Основной текст с отступом Знак"/>
    <w:link w:val="af3"/>
    <w:rsid w:val="00916B06"/>
    <w:rPr>
      <w:sz w:val="24"/>
      <w:szCs w:val="24"/>
    </w:rPr>
  </w:style>
  <w:style w:type="character" w:customStyle="1" w:styleId="afe">
    <w:name w:val="Основной текст Знак"/>
    <w:link w:val="afd"/>
    <w:uiPriority w:val="99"/>
    <w:rsid w:val="00916B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enkoIS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A8E3-CE14-4641-9634-D83CD166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20459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21</cp:revision>
  <cp:lastPrinted>2014-10-20T03:12:00Z</cp:lastPrinted>
  <dcterms:created xsi:type="dcterms:W3CDTF">2014-10-13T08:47:00Z</dcterms:created>
  <dcterms:modified xsi:type="dcterms:W3CDTF">2014-10-30T04:35:00Z</dcterms:modified>
</cp:coreProperties>
</file>