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Pr="00AE7116" w:rsidRDefault="00EF1336" w:rsidP="00AE711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0C4E06" w:rsidRPr="000C4E06">
        <w:rPr>
          <w:rFonts w:cs="Arial"/>
          <w:szCs w:val="22"/>
        </w:rPr>
        <w:t>выполнение работ по ежедневному (текущему) обслуживанию сетей, оборудования, коммуникаций комплексов по очистке, обработке и переработке сточных вод, цех № 12</w:t>
      </w:r>
      <w:r w:rsidR="00AE7116">
        <w:rPr>
          <w:rFonts w:cs="Arial"/>
          <w:szCs w:val="22"/>
        </w:rPr>
        <w:t>.</w:t>
      </w:r>
    </w:p>
    <w:p w:rsidR="00EF1336" w:rsidRPr="00EF1336" w:rsidRDefault="00EF1336" w:rsidP="00AE711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9B5FD8" w:rsidRDefault="00EF1336" w:rsidP="009B5FD8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AE7116" w:rsidRPr="00AE7116">
        <w:rPr>
          <w:rFonts w:cs="Arial"/>
          <w:szCs w:val="22"/>
        </w:rPr>
        <w:t>начало работ – январь 2017 - декабрь 2019 г.г. Окончание работ в целом и отдельных этапов (в случае их наличия) оформляются двусторонними актами выполненных работ</w:t>
      </w:r>
      <w:r w:rsidR="00255DDB" w:rsidRPr="00AE7116">
        <w:rPr>
          <w:rFonts w:cs="Arial"/>
          <w:szCs w:val="22"/>
        </w:rPr>
        <w:t>.</w:t>
      </w:r>
    </w:p>
    <w:p w:rsidR="00C522CB" w:rsidRDefault="00EF1336" w:rsidP="009B5FD8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C522CB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AE7116" w:rsidRPr="00AE7116" w:rsidRDefault="00AE7116" w:rsidP="00AE7116">
      <w:pPr>
        <w:autoSpaceDE w:val="0"/>
        <w:ind w:firstLine="567"/>
        <w:jc w:val="both"/>
        <w:rPr>
          <w:szCs w:val="22"/>
        </w:rPr>
      </w:pPr>
      <w:r w:rsidRPr="00AE7116">
        <w:rPr>
          <w:szCs w:val="22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AE7116" w:rsidRPr="00AE7116" w:rsidRDefault="00AE7116" w:rsidP="00AE7116">
      <w:pPr>
        <w:autoSpaceDE w:val="0"/>
        <w:ind w:firstLine="567"/>
        <w:jc w:val="both"/>
        <w:rPr>
          <w:szCs w:val="22"/>
        </w:rPr>
      </w:pPr>
      <w:r w:rsidRPr="00AE7116">
        <w:rPr>
          <w:szCs w:val="22"/>
        </w:rPr>
        <w:t>Виды работ указаны в (Приложение №1 к проекту Договора).</w:t>
      </w:r>
    </w:p>
    <w:p w:rsidR="000C4E06" w:rsidRPr="000C4E06" w:rsidRDefault="000C4E06" w:rsidP="000C4E06">
      <w:pPr>
        <w:autoSpaceDE w:val="0"/>
        <w:ind w:firstLine="567"/>
        <w:jc w:val="both"/>
        <w:rPr>
          <w:szCs w:val="22"/>
        </w:rPr>
      </w:pPr>
      <w:r w:rsidRPr="000C4E06">
        <w:rPr>
          <w:szCs w:val="22"/>
        </w:rPr>
        <w:t>Объемы работ будут определяться в соответствии с утвержденными Заказчиком заданиями, выдаваемому подрядчику ежедневно, исходя из необходимости, основанной на фактическом техническом состоянии оборудования объектов цеха №12 (Приложение №4 к проекту Договора). Стоимость таких работ будет определяться на основании ресурсных сметных расчетов, утвержденных в установленном порядке, с применением Регламента определения стоимости работ  на весь период их выполнения (Приложение №2  к проекту Договора) и трудозатрат исходя из фактически отработанного времени, указанного в табеле учета рабочего времени.</w:t>
      </w:r>
    </w:p>
    <w:p w:rsidR="000C4E06" w:rsidRPr="000C4E06" w:rsidRDefault="000C4E06" w:rsidP="000C4E06">
      <w:pPr>
        <w:ind w:firstLine="567"/>
        <w:jc w:val="both"/>
        <w:rPr>
          <w:szCs w:val="22"/>
        </w:rPr>
      </w:pPr>
      <w:r w:rsidRPr="000C4E06">
        <w:rPr>
          <w:szCs w:val="22"/>
        </w:rPr>
        <w:t>С согласия Заказчика 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0C4E06" w:rsidRPr="000C4E06" w:rsidRDefault="000C4E06" w:rsidP="000C4E06">
      <w:pPr>
        <w:ind w:firstLine="567"/>
        <w:jc w:val="both"/>
        <w:rPr>
          <w:szCs w:val="22"/>
        </w:rPr>
      </w:pPr>
      <w:r w:rsidRPr="000C4E06">
        <w:rPr>
          <w:szCs w:val="22"/>
        </w:rPr>
        <w:t>Стоимость опциона - не более 30 % от стоимости работ по Договору, указанной в п. 3.1.</w:t>
      </w:r>
    </w:p>
    <w:p w:rsidR="000C4E06" w:rsidRPr="007C7686" w:rsidRDefault="000C4E06" w:rsidP="000C4E06">
      <w:pPr>
        <w:ind w:firstLine="567"/>
        <w:jc w:val="both"/>
        <w:rPr>
          <w:sz w:val="24"/>
        </w:rPr>
      </w:pPr>
      <w:r w:rsidRPr="000C4E06"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Регламентов определения стоимости  (Приложение №2 к Договору), условий оплаты</w:t>
      </w:r>
      <w:r w:rsidRPr="007C7686">
        <w:rPr>
          <w:sz w:val="24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8F3A32" w:rsidRDefault="00520FD6" w:rsidP="00520FD6">
      <w:pPr>
        <w:spacing w:before="0"/>
        <w:ind w:firstLine="567"/>
        <w:jc w:val="both"/>
        <w:rPr>
          <w:szCs w:val="22"/>
        </w:rPr>
      </w:pPr>
      <w:r w:rsidRPr="00520FD6">
        <w:rPr>
          <w:szCs w:val="22"/>
        </w:rPr>
        <w:t>Работы должны выполняться в соответствии с утвержденными дефектными ведомостями и 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8F3A32">
        <w:rPr>
          <w:szCs w:val="22"/>
        </w:rPr>
        <w:t>.</w:t>
      </w:r>
    </w:p>
    <w:p w:rsidR="00520FD6" w:rsidRPr="00520FD6" w:rsidRDefault="00520FD6" w:rsidP="00520FD6">
      <w:pPr>
        <w:spacing w:before="0"/>
        <w:ind w:firstLine="567"/>
        <w:jc w:val="both"/>
        <w:rPr>
          <w:szCs w:val="22"/>
        </w:rPr>
      </w:pPr>
      <w:r w:rsidRPr="00520FD6"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</w:r>
    </w:p>
    <w:p w:rsidR="009E575B" w:rsidRPr="00520FD6" w:rsidRDefault="00520FD6" w:rsidP="00520FD6">
      <w:pPr>
        <w:spacing w:before="0"/>
        <w:ind w:firstLine="567"/>
        <w:jc w:val="both"/>
        <w:rPr>
          <w:szCs w:val="22"/>
        </w:rPr>
      </w:pPr>
      <w:r w:rsidRPr="00520FD6">
        <w:rPr>
          <w:szCs w:val="22"/>
        </w:rPr>
        <w:t>Осуществлять работы в соответствии с нормативными документами, указанными в п. п. 5.5, 6.6 проекта Договора. Данная документация передается Заказчиком Подрядчику в электронном виде, посредством электронной почты</w:t>
      </w:r>
      <w:r w:rsidR="009E575B">
        <w:rPr>
          <w:szCs w:val="22"/>
        </w:rPr>
        <w:t>.</w:t>
      </w:r>
    </w:p>
    <w:p w:rsidR="002C4E77" w:rsidRDefault="002C4E77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2C4E77" w:rsidRDefault="002C4E77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2C4E77" w:rsidRDefault="002C4E77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2C4E77" w:rsidRDefault="002C4E77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2C4E77" w:rsidRDefault="002C4E77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>3. Основные требования к Контрагенту.</w:t>
      </w:r>
    </w:p>
    <w:tbl>
      <w:tblPr>
        <w:tblW w:w="9948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724"/>
        <w:gridCol w:w="3758"/>
        <w:gridCol w:w="2764"/>
        <w:gridCol w:w="1417"/>
        <w:gridCol w:w="1276"/>
      </w:tblGrid>
      <w:tr w:rsidR="000C4E06" w:rsidRPr="00013332" w:rsidTr="001337A1">
        <w:trPr>
          <w:gridBefore w:val="1"/>
          <w:wBefore w:w="9" w:type="dxa"/>
          <w:trHeight w:val="106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0C4E06" w:rsidRPr="000C4E06" w:rsidRDefault="000C4E06" w:rsidP="000C4E06">
            <w:pPr>
              <w:rPr>
                <w:b/>
                <w:bCs/>
                <w:sz w:val="20"/>
                <w:szCs w:val="20"/>
              </w:rPr>
            </w:pPr>
            <w:r w:rsidRPr="000C4E06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58" w:type="dxa"/>
            <w:shd w:val="clear" w:color="auto" w:fill="D9D9D9"/>
            <w:vAlign w:val="center"/>
            <w:hideMark/>
          </w:tcPr>
          <w:p w:rsidR="000C4E06" w:rsidRPr="000C4E06" w:rsidRDefault="000C4E06" w:rsidP="000C4E06">
            <w:pPr>
              <w:rPr>
                <w:b/>
                <w:bCs/>
                <w:sz w:val="20"/>
                <w:szCs w:val="20"/>
              </w:rPr>
            </w:pPr>
            <w:r w:rsidRPr="000C4E06">
              <w:rPr>
                <w:b/>
                <w:bCs/>
                <w:sz w:val="20"/>
                <w:szCs w:val="20"/>
              </w:rPr>
              <w:t xml:space="preserve">Требование </w:t>
            </w:r>
            <w:r w:rsidRPr="000C4E06">
              <w:rPr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764" w:type="dxa"/>
            <w:shd w:val="clear" w:color="auto" w:fill="D9D9D9"/>
            <w:vAlign w:val="center"/>
            <w:hideMark/>
          </w:tcPr>
          <w:p w:rsidR="000C4E06" w:rsidRPr="000C4E06" w:rsidRDefault="000C4E06" w:rsidP="000C4E06">
            <w:pPr>
              <w:rPr>
                <w:b/>
                <w:bCs/>
                <w:sz w:val="20"/>
                <w:szCs w:val="20"/>
              </w:rPr>
            </w:pPr>
            <w:r w:rsidRPr="000C4E06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/>
            <w:vAlign w:val="center"/>
            <w:hideMark/>
          </w:tcPr>
          <w:p w:rsidR="000C4E06" w:rsidRPr="000C4E06" w:rsidRDefault="000C4E06" w:rsidP="000C4E06">
            <w:pPr>
              <w:rPr>
                <w:b/>
                <w:bCs/>
                <w:sz w:val="20"/>
                <w:szCs w:val="20"/>
              </w:rPr>
            </w:pPr>
            <w:r w:rsidRPr="000C4E06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:rsidR="000C4E06" w:rsidRPr="000C4E06" w:rsidRDefault="000C4E06" w:rsidP="000C4E06">
            <w:pPr>
              <w:rPr>
                <w:b/>
                <w:bCs/>
                <w:sz w:val="20"/>
                <w:szCs w:val="20"/>
                <w:u w:val="single"/>
              </w:rPr>
            </w:pPr>
            <w:r w:rsidRPr="000C4E06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0C4E06" w:rsidRPr="00013332" w:rsidTr="001337A1">
        <w:trPr>
          <w:gridBefore w:val="1"/>
          <w:wBefore w:w="9" w:type="dxa"/>
          <w:trHeight w:val="163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0C4E06" w:rsidRPr="000C4E06" w:rsidRDefault="000C4E06" w:rsidP="000C4E06">
            <w:pPr>
              <w:rPr>
                <w:b/>
                <w:sz w:val="20"/>
                <w:szCs w:val="20"/>
              </w:rPr>
            </w:pPr>
            <w:r w:rsidRPr="000C4E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58" w:type="dxa"/>
            <w:shd w:val="clear" w:color="auto" w:fill="D9D9D9"/>
            <w:vAlign w:val="center"/>
          </w:tcPr>
          <w:p w:rsidR="000C4E06" w:rsidRPr="000C4E06" w:rsidRDefault="000C4E06" w:rsidP="000C4E06">
            <w:pPr>
              <w:rPr>
                <w:b/>
                <w:sz w:val="20"/>
                <w:szCs w:val="20"/>
              </w:rPr>
            </w:pPr>
            <w:r w:rsidRPr="000C4E0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64" w:type="dxa"/>
            <w:shd w:val="clear" w:color="auto" w:fill="D9D9D9"/>
            <w:vAlign w:val="center"/>
          </w:tcPr>
          <w:p w:rsidR="000C4E06" w:rsidRPr="000C4E06" w:rsidRDefault="000C4E06" w:rsidP="000C4E06">
            <w:pPr>
              <w:rPr>
                <w:b/>
                <w:sz w:val="20"/>
                <w:szCs w:val="20"/>
              </w:rPr>
            </w:pPr>
            <w:r w:rsidRPr="000C4E0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0C4E06" w:rsidRPr="000C4E06" w:rsidRDefault="000C4E06" w:rsidP="000C4E06">
            <w:pPr>
              <w:rPr>
                <w:b/>
                <w:sz w:val="20"/>
                <w:szCs w:val="20"/>
              </w:rPr>
            </w:pPr>
            <w:r w:rsidRPr="000C4E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C4E06" w:rsidRPr="000C4E06" w:rsidRDefault="000C4E06" w:rsidP="000C4E06">
            <w:pPr>
              <w:rPr>
                <w:b/>
                <w:sz w:val="20"/>
                <w:szCs w:val="20"/>
              </w:rPr>
            </w:pPr>
            <w:r w:rsidRPr="000C4E06">
              <w:rPr>
                <w:b/>
                <w:sz w:val="20"/>
                <w:szCs w:val="20"/>
              </w:rPr>
              <w:t>5</w:t>
            </w:r>
          </w:p>
        </w:tc>
      </w:tr>
      <w:tr w:rsidR="000C4E06" w:rsidRPr="00950887" w:rsidTr="001337A1">
        <w:trPr>
          <w:gridBefore w:val="1"/>
          <w:wBefore w:w="9" w:type="dxa"/>
          <w:trHeight w:val="3414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Опыт выполнения работ аналогичных предмету закупки, в том числе, но не ограничиваясь, на ОАО «Славнефть-ЯНОС», ПАО «Газпром нефть», ОАО «НК «Роснефть». Знание особенностей технического обслуживания и ремонта трубопроводов, оборудования, зданий и сооружений, также сетей, оборудования, коммуникаций комплексов по очистке, обработке и переработке сточных вод. Наличие опыта выполнения работ аналогичных предмету закупки, в объеме и стоимостном выражении соответствующем предмету закупки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об опыте работы за 2013, 2014, 2015 г.г., за подписью руководителя организации (Форма 7)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Количество работ в каждом из годов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1 и более </w:t>
            </w:r>
          </w:p>
        </w:tc>
      </w:tr>
      <w:tr w:rsidR="000C4E06" w:rsidRPr="007C1886" w:rsidTr="001337A1">
        <w:trPr>
          <w:gridBefore w:val="1"/>
          <w:wBefore w:w="9" w:type="dxa"/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Среднегодовой объем выполненных СМР на объектах нефтепереработки за последние 3 года.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об опыте работы за последние 3 года, за подписью руководителя организации (Форма 7), референц-лист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рубль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15 600 000 </w:t>
            </w:r>
          </w:p>
          <w:p w:rsidR="000C4E06" w:rsidRPr="000C4E06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 и более</w:t>
            </w:r>
          </w:p>
        </w:tc>
      </w:tr>
      <w:tr w:rsidR="000C4E06" w:rsidRPr="007C1886" w:rsidTr="001337A1">
        <w:trPr>
          <w:gridBefore w:val="1"/>
          <w:wBefore w:w="9" w:type="dxa"/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Стоимость одного договора, который вправе заключать контрагент на организацию строительства, реконструкции и капитального ремонта объектов капитального строительства согласно свидетельства СРО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numPr>
                <w:ilvl w:val="0"/>
                <w:numId w:val="11"/>
              </w:numPr>
              <w:tabs>
                <w:tab w:val="clear" w:pos="1778"/>
                <w:tab w:val="left" w:pos="644"/>
                <w:tab w:val="num" w:pos="720"/>
              </w:tabs>
              <w:suppressAutoHyphens/>
              <w:autoSpaceDE w:val="0"/>
              <w:spacing w:before="0"/>
              <w:ind w:left="34" w:hanging="360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г., лицензии, аттестации в области промышленной безопасности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рубль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50 000 000    с НДС и более</w:t>
            </w:r>
          </w:p>
        </w:tc>
      </w:tr>
      <w:tr w:rsidR="000C4E06" w:rsidRPr="00774474" w:rsidTr="001337A1">
        <w:trPr>
          <w:gridBefore w:val="1"/>
          <w:wBefore w:w="9" w:type="dxa"/>
          <w:trHeight w:val="1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Действующий допуск СРО у подрядчика и привлекаемых им субподрядчиков с разрешением на производство соответствующих предмету закупки работ и правом</w:t>
            </w:r>
          </w:p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заключать договора, стоимость которых, по одному договору должна соответствовать стоимости закупки.</w:t>
            </w:r>
          </w:p>
          <w:p w:rsidR="000C4E06" w:rsidRPr="000C4E06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(если стоимость закупки превышает сумму, указанную в СРО, допускается предоставление гарантийного письмо о переоформлении СРО).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tabs>
                <w:tab w:val="left" w:pos="644"/>
              </w:tabs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Копия действующего свидетельства СРО (гарантийное письмо при необходимости)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Производственная база строительно-монтажной организации, с достаточными производственными мощностями, в непосредственной близости (регионе) или ее аренда.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Для обеспечения работ организация </w:t>
            </w:r>
            <w:r w:rsidRPr="000C4E06">
              <w:rPr>
                <w:rFonts w:cs="Arial"/>
                <w:sz w:val="20"/>
                <w:szCs w:val="20"/>
              </w:rPr>
              <w:lastRenderedPageBreak/>
              <w:t xml:space="preserve">должна иметь: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</w:tr>
      <w:tr w:rsidR="000C4E06" w:rsidRPr="00950887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lastRenderedPageBreak/>
              <w:t>6.1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Политики в области ПБ, ОТ и ОС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Копия документа, подтверждающего наличие Политики в области ПБ, ОТ и ОС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950887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инструкций по профессиям и каждому виду выполняемых работ,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Копия документов, подтверждающих наличие инструкций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950887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наличие, нормативную численность и квалификацию персонала службы ПБ, ОТ и ОС,</w:t>
            </w:r>
          </w:p>
        </w:tc>
        <w:tc>
          <w:tcPr>
            <w:tcW w:w="2764" w:type="dxa"/>
            <w:vMerge w:val="restart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в соответст-вии с действую-щим законо-дательством РФ/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63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6.4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участок по выполнению строительных работ, </w:t>
            </w:r>
          </w:p>
        </w:tc>
        <w:tc>
          <w:tcPr>
            <w:tcW w:w="2764" w:type="dxa"/>
            <w:vMerge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6.5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производственно-технический отдел, </w:t>
            </w:r>
          </w:p>
        </w:tc>
        <w:tc>
          <w:tcPr>
            <w:tcW w:w="2764" w:type="dxa"/>
            <w:vMerge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6.6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группу входного контроля закупаемого оборудования и материалов,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Копия документа, подтверждающего наличие договорных отношений или собственность - группы входного контроля оборудования и материалов и аттестованной контрольно-сварочной лаборатории.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6.7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технику для уборки территории ремонтируемого объекта во время и после проведения работ.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6.8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персонал для уборки территории ремонтируемого объекта во время и после проведения работ.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</w:t>
            </w:r>
          </w:p>
        </w:tc>
      </w:tr>
      <w:tr w:rsidR="000C4E06" w:rsidRPr="00890F1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758" w:type="dxa"/>
            <w:shd w:val="clear" w:color="auto" w:fill="auto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ответственных за организацию и проведение  Работ повышенной опасности из числа ИТР подрядных организаций, аттестованных в области промышленной безопасности для осуществления деятельности на опасных производственных объектах по категориям А1, Б1.17.</w:t>
            </w:r>
          </w:p>
        </w:tc>
        <w:tc>
          <w:tcPr>
            <w:tcW w:w="2764" w:type="dxa"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Копии свидетельств и протоколов комиссий об аттестации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7.1</w:t>
            </w:r>
          </w:p>
        </w:tc>
        <w:tc>
          <w:tcPr>
            <w:tcW w:w="3758" w:type="dxa"/>
            <w:shd w:val="clear" w:color="auto" w:fill="auto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Наличие мед.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мед. осмотров водителей транспортных </w:t>
            </w:r>
            <w:r w:rsidRPr="000C4E06">
              <w:rPr>
                <w:rFonts w:cs="Arial"/>
                <w:sz w:val="20"/>
                <w:szCs w:val="20"/>
              </w:rPr>
              <w:lastRenderedPageBreak/>
              <w:t>средств и оказание первой и/или медицинской помощи работникам.</w:t>
            </w:r>
          </w:p>
        </w:tc>
        <w:tc>
          <w:tcPr>
            <w:tcW w:w="2764" w:type="dxa"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lastRenderedPageBreak/>
              <w:t xml:space="preserve">Справка о наличии производственных мощностей (Форма 9) или гарантийное письмо за подписью руководителя о заключении договора 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758" w:type="dxa"/>
            <w:shd w:val="clear" w:color="auto" w:fill="auto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Организация и проведение медицинских осмотров привлекаемого персонала.</w:t>
            </w:r>
          </w:p>
        </w:tc>
        <w:tc>
          <w:tcPr>
            <w:tcW w:w="2764" w:type="dxa"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Копии документов, подтверждающих наличие договорных отношений, графиков, перечней и заключительных актов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7.3</w:t>
            </w:r>
          </w:p>
        </w:tc>
        <w:tc>
          <w:tcPr>
            <w:tcW w:w="3758" w:type="dxa"/>
            <w:shd w:val="clear" w:color="auto" w:fill="auto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Организация и проведение контрольно-профилактических проверок соблюдения требований по охране труда, промышленной, пожарной, экологической и транспортной безопасности.</w:t>
            </w:r>
          </w:p>
        </w:tc>
        <w:tc>
          <w:tcPr>
            <w:tcW w:w="2764" w:type="dxa"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Копии документов, подтверждающих проведение проверок, их графиков,  актов по итогам проверок.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7.4</w:t>
            </w:r>
          </w:p>
        </w:tc>
        <w:tc>
          <w:tcPr>
            <w:tcW w:w="3758" w:type="dxa"/>
            <w:shd w:val="clear" w:color="auto" w:fill="auto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Предоставление гарантий отсутствия работников, привлекаемых подрядчиком для выполнения работ на основании гражданско-правовых договоров.</w:t>
            </w:r>
          </w:p>
        </w:tc>
        <w:tc>
          <w:tcPr>
            <w:tcW w:w="2764" w:type="dxa"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Гарантийное письмо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Обученный и аттестованный персонал в области работ по ремонту объектов нефтепереработки:  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</w:tr>
      <w:tr w:rsidR="000C4E06" w:rsidRPr="00A44088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8.1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по разборке, сборке, обслуживанию в соответствии с Правилами и Инструкциями фланцевых соединений, аппаратов, трубопроводов,  КИПиА, электрооборудования,</w:t>
            </w:r>
          </w:p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с навыками применения различных инструментов и оснастки отечественного и импортного производства (ручных, пневмо-, гидравлических, электрических, контрольно-измерительных инструментов, средств малой механизации), схем обтяжки, использования прокладочных материалов;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8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8.2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Наличие аттестованных сварщиков </w:t>
            </w:r>
          </w:p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Копии отчетов о прохождении работниками аттестации и копии аттестационных удостоверений сварщиков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8.3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в организации специалистов сварочного производства II уровня (руководители сварочных работ) и аттестованных специалистов сварочного производства I уровня (сварщик)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 xml:space="preserve">Копии отчетов о прохождении работниками аттестации 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</w:t>
            </w:r>
          </w:p>
        </w:tc>
      </w:tr>
      <w:tr w:rsidR="000C4E06" w:rsidRPr="00A54E35" w:rsidTr="001337A1">
        <w:trPr>
          <w:gridBefore w:val="1"/>
          <w:wBefore w:w="9" w:type="dxa"/>
          <w:trHeight w:val="326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Требования по сварочным работам: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</w:tr>
      <w:tr w:rsidR="000C4E06" w:rsidRPr="00656568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9.1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Наличие у организации «Свидетельства о производственной аттестации технологии сварки» в соответствии с требованиями РД 03-615-03, «Карт технологического </w:t>
            </w:r>
            <w:r w:rsidRPr="000C4E06">
              <w:rPr>
                <w:rFonts w:cs="Arial"/>
                <w:sz w:val="20"/>
                <w:szCs w:val="20"/>
              </w:rPr>
              <w:lastRenderedPageBreak/>
              <w:t>процесса сварки технологических трубопроводов» из групп сталей: (М01) – сталь20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lastRenderedPageBreak/>
              <w:t xml:space="preserve">Копии отчетов о прохождении сварщиками аттестации, копий аттестационных удостоверений сварщиков, </w:t>
            </w:r>
            <w:r w:rsidRPr="006523FD">
              <w:rPr>
                <w:rFonts w:cs="Arial"/>
                <w:sz w:val="20"/>
                <w:szCs w:val="20"/>
              </w:rPr>
              <w:lastRenderedPageBreak/>
              <w:t>копии Свидетельств о производственной аттестации технологии сварки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lastRenderedPageBreak/>
              <w:t>9.2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в собственности или в аренде исправных сварочных аппаратов. Все сварочное оборудование должно иметь «Свидетельство об аттестации сварочного оборудования» в соответствии с требованиями РД 03.614-03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копии Свидетельств об аттестации сварочного оборудования.    Справка о наличии производственных мощностей (Форма 9).</w:t>
            </w:r>
          </w:p>
          <w:p w:rsidR="000C4E06" w:rsidRPr="006523FD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  1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9.3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в собственности или в аренде  исправных термопеналов.</w:t>
            </w:r>
          </w:p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  1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9.4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 в собственности или в аренде  у организации  печей для прокаливания электродов.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  1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Наличие в собственности исправного контрольно-измерительного и ручного рабочего инструмента.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F45928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F45928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Укомплектованность  для проведения работ достаточным количеством грузоподъемной и специальной техники, находящихся в собственности или в аренде: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</w:p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наличие грузовой транспортной техники для перевозки оборудования, запчастей, материалов,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11.11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- обеспеченность транспорта, предназначенного для перевозки опасных грузов системой типа БСМТС, возможность установки программного обеспечения Заказчику для контроля за перемещением ТС, </w:t>
            </w:r>
          </w:p>
        </w:tc>
        <w:tc>
          <w:tcPr>
            <w:tcW w:w="2764" w:type="dxa"/>
            <w:vMerge w:val="restart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Гарантийное письмо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RPr="00E2738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11.12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обеспеченность транспорта, предназначенного для перевозки работников (в т.ч. легкового) системами видеорегистрации,</w:t>
            </w:r>
          </w:p>
        </w:tc>
        <w:tc>
          <w:tcPr>
            <w:tcW w:w="2764" w:type="dxa"/>
            <w:vMerge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0C4E06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11.13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оснащение ремнями безопасности транспортных средств (где это предусмотрено конструкцией ТС),</w:t>
            </w:r>
          </w:p>
        </w:tc>
        <w:tc>
          <w:tcPr>
            <w:tcW w:w="2764" w:type="dxa"/>
            <w:vMerge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100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наличие передвижных компрессоров,</w:t>
            </w:r>
          </w:p>
        </w:tc>
        <w:tc>
          <w:tcPr>
            <w:tcW w:w="2764" w:type="dxa"/>
            <w:vMerge w:val="restart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F45928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- наличие автовышки для производства работ, </w:t>
            </w:r>
          </w:p>
        </w:tc>
        <w:tc>
          <w:tcPr>
            <w:tcW w:w="2764" w:type="dxa"/>
            <w:vMerge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11.4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- наличие грузоподъемной техники Q= от 16 до 100 т.</w:t>
            </w:r>
          </w:p>
        </w:tc>
        <w:tc>
          <w:tcPr>
            <w:tcW w:w="2764" w:type="dxa"/>
            <w:vMerge/>
            <w:shd w:val="clear" w:color="auto" w:fill="auto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0C4E06" w:rsidRPr="0001333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Готовность производить работы в выходные и праздничные дни с увеличенным рабочим днем, с возможностью организации и </w:t>
            </w:r>
            <w:r w:rsidRPr="000C4E06">
              <w:rPr>
                <w:rFonts w:cs="Arial"/>
                <w:sz w:val="20"/>
                <w:szCs w:val="20"/>
              </w:rPr>
              <w:lastRenderedPageBreak/>
              <w:t>проведении работ в круглосуточном режиме.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lastRenderedPageBreak/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0C4E06" w:rsidRPr="00013332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Возможность выполнения работ  собственными силами в качестве Ген. подрядчика 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80 и более</w:t>
            </w:r>
          </w:p>
        </w:tc>
      </w:tr>
      <w:tr w:rsidR="000C4E06" w:rsidRPr="00A54E35" w:rsidTr="001337A1">
        <w:trPr>
          <w:gridBefore w:val="1"/>
          <w:wBefore w:w="9" w:type="dxa"/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3758" w:type="dxa"/>
            <w:shd w:val="clear" w:color="auto" w:fill="auto"/>
            <w:vAlign w:val="center"/>
          </w:tcPr>
          <w:p w:rsidR="000C4E06" w:rsidRPr="000C4E06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764" w:type="dxa"/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C4E06" w:rsidRPr="000C4E06" w:rsidRDefault="000C4E06" w:rsidP="000C4E06">
            <w:pPr>
              <w:rPr>
                <w:rFonts w:cs="Arial"/>
                <w:sz w:val="20"/>
                <w:szCs w:val="20"/>
              </w:rPr>
            </w:pPr>
            <w:r w:rsidRPr="000C4E06">
              <w:rPr>
                <w:rFonts w:cs="Arial"/>
                <w:sz w:val="20"/>
                <w:szCs w:val="20"/>
              </w:rPr>
              <w:t xml:space="preserve">да </w:t>
            </w:r>
          </w:p>
        </w:tc>
      </w:tr>
      <w:tr w:rsidR="000C4E06" w:rsidRPr="007B6883" w:rsidTr="00133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E06" w:rsidRPr="007B6883" w:rsidRDefault="000C4E06" w:rsidP="000C4E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E06" w:rsidRPr="007B6883" w:rsidRDefault="000C4E06" w:rsidP="000C4E06">
            <w:pPr>
              <w:jc w:val="both"/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E06" w:rsidRPr="006523FD" w:rsidRDefault="000C4E06" w:rsidP="000C4E06">
            <w:pPr>
              <w:rPr>
                <w:rFonts w:cs="Arial"/>
                <w:sz w:val="20"/>
                <w:szCs w:val="20"/>
              </w:rPr>
            </w:pPr>
            <w:r w:rsidRPr="006523FD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4E06" w:rsidRPr="007B6883" w:rsidRDefault="000C4E06" w:rsidP="000C4E06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06" w:rsidRPr="007B6883" w:rsidRDefault="000C4E06" w:rsidP="000C4E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</w:t>
            </w:r>
            <w:r w:rsidRPr="007B6883">
              <w:rPr>
                <w:rFonts w:cs="Arial"/>
                <w:sz w:val="20"/>
                <w:szCs w:val="20"/>
              </w:rPr>
              <w:t>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D9362C" w:rsidRDefault="00D9362C" w:rsidP="00D9362C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п.п. 5.5, 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D9362C" w:rsidRDefault="00D9362C" w:rsidP="00D9362C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D9362C" w:rsidRDefault="00D9362C" w:rsidP="00D9362C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D9362C" w:rsidRPr="00BE0919" w:rsidRDefault="00D9362C" w:rsidP="00D9362C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Сертификаты качества, выданные производителем;</w:t>
      </w:r>
    </w:p>
    <w:p w:rsidR="00D9362C" w:rsidRPr="00BE0919" w:rsidRDefault="00D9362C" w:rsidP="00D9362C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E0919">
        <w:rPr>
          <w:szCs w:val="22"/>
        </w:rPr>
        <w:t>Сертификаты соответствия Госстандарта Российской Федерации;</w:t>
      </w:r>
    </w:p>
    <w:p w:rsidR="00D9362C" w:rsidRDefault="00D9362C" w:rsidP="00D9362C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Технические паспорта и другие документы, удостоверяющие их качество.</w:t>
      </w:r>
    </w:p>
    <w:p w:rsidR="00D9362C" w:rsidRDefault="00D9362C" w:rsidP="00D9362C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 СМК-ПК-7.</w:t>
      </w:r>
    </w:p>
    <w:p w:rsidR="00D9362C" w:rsidRDefault="00D9362C" w:rsidP="00D9362C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  <w:r>
        <w:rPr>
          <w:szCs w:val="22"/>
        </w:rPr>
        <w:lastRenderedPageBreak/>
        <w:t>при выполнении работ по договору.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D9362C" w:rsidRDefault="00D9362C" w:rsidP="00D9362C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A4774" w:rsidRDefault="00EA4774" w:rsidP="00EA477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EA4774" w:rsidRDefault="00EA4774" w:rsidP="00EA4774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tbl>
      <w:tblPr>
        <w:tblpPr w:leftFromText="180" w:rightFromText="180" w:vertAnchor="text" w:horzAnchor="margin" w:tblpY="230"/>
        <w:tblW w:w="15676" w:type="dxa"/>
        <w:tblLook w:val="04A0" w:firstRow="1" w:lastRow="0" w:firstColumn="1" w:lastColumn="0" w:noHBand="0" w:noVBand="1"/>
      </w:tblPr>
      <w:tblGrid>
        <w:gridCol w:w="15919"/>
      </w:tblGrid>
      <w:tr w:rsidR="00137BCE" w:rsidRPr="008879F7" w:rsidTr="00470DD1">
        <w:trPr>
          <w:trHeight w:val="735"/>
        </w:trPr>
        <w:tc>
          <w:tcPr>
            <w:tcW w:w="1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230"/>
              <w:tblW w:w="15703" w:type="dxa"/>
              <w:tblLook w:val="04A0" w:firstRow="1" w:lastRow="0" w:firstColumn="1" w:lastColumn="0" w:noHBand="0" w:noVBand="1"/>
            </w:tblPr>
            <w:tblGrid>
              <w:gridCol w:w="15703"/>
            </w:tblGrid>
            <w:tr w:rsidR="00470DD1" w:rsidTr="00BD789F">
              <w:trPr>
                <w:trHeight w:val="735"/>
              </w:trPr>
              <w:tc>
                <w:tcPr>
                  <w:tcW w:w="15703" w:type="dxa"/>
                  <w:vAlign w:val="center"/>
                  <w:hideMark/>
                </w:tcPr>
                <w:p w:rsidR="00BD789F" w:rsidRDefault="00BD789F" w:rsidP="00370901">
                  <w:pPr>
                    <w:rPr>
                      <w:b/>
                      <w:bCs/>
                      <w:color w:val="000000"/>
                    </w:rPr>
                  </w:pPr>
                </w:p>
                <w:p w:rsidR="00BD789F" w:rsidRDefault="00BD789F" w:rsidP="00370901">
                  <w:pPr>
                    <w:rPr>
                      <w:b/>
                      <w:bCs/>
                      <w:color w:val="000000"/>
                    </w:rPr>
                  </w:pPr>
                </w:p>
                <w:p w:rsidR="00470DD1" w:rsidRDefault="00470DD1" w:rsidP="00370901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470DD1" w:rsidRDefault="00470DD1" w:rsidP="00137BCE">
            <w:pPr>
              <w:jc w:val="right"/>
              <w:rPr>
                <w:b/>
                <w:bCs/>
                <w:color w:val="000000"/>
              </w:rPr>
            </w:pPr>
          </w:p>
          <w:p w:rsidR="00137BCE" w:rsidRPr="008879F7" w:rsidRDefault="00137BCE" w:rsidP="00470DD1">
            <w:pPr>
              <w:rPr>
                <w:b/>
                <w:bCs/>
                <w:color w:val="000000"/>
              </w:rPr>
            </w:pPr>
          </w:p>
        </w:tc>
      </w:tr>
    </w:tbl>
    <w:p w:rsidR="00137BCE" w:rsidRDefault="00137BCE" w:rsidP="00137BCE">
      <w:pPr>
        <w:framePr w:h="420" w:hRule="exact" w:wrap="auto" w:hAnchor="text"/>
        <w:rPr>
          <w:sz w:val="24"/>
        </w:rPr>
        <w:sectPr w:rsidR="00137BCE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315ACA">
        <w:rPr>
          <w:rFonts w:cs="Arial"/>
          <w:szCs w:val="22"/>
        </w:rPr>
        <w:t>оферты №3</w:t>
      </w:r>
      <w:r w:rsidR="00315ACA" w:rsidRPr="00315ACA">
        <w:rPr>
          <w:rFonts w:cs="Arial"/>
          <w:szCs w:val="22"/>
        </w:rPr>
        <w:t>74</w:t>
      </w:r>
      <w:r w:rsidRPr="00315ACA">
        <w:rPr>
          <w:rFonts w:cs="Arial"/>
          <w:szCs w:val="22"/>
        </w:rPr>
        <w:t>-КР</w:t>
      </w:r>
      <w:r>
        <w:rPr>
          <w:rFonts w:cs="Arial"/>
          <w:szCs w:val="22"/>
        </w:rPr>
        <w:t xml:space="preserve">-2016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1F2201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Pr="0047728E">
        <w:rPr>
          <w:rFonts w:cs="Arial"/>
          <w:b/>
          <w:szCs w:val="22"/>
        </w:rPr>
        <w:t xml:space="preserve">выполнение работ </w:t>
      </w:r>
      <w:r w:rsidR="00F45928" w:rsidRPr="001130CE">
        <w:rPr>
          <w:rFonts w:cs="Arial"/>
          <w:b/>
          <w:szCs w:val="22"/>
        </w:rPr>
        <w:t>по ежедневному (текущему) обслуживанию сетей, оборудования, коммуникаций комплексов по очистке, обработке и переработке сточных вод, цех № 12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F45928" w:rsidRDefault="00534406" w:rsidP="004A2871">
            <w:pPr>
              <w:jc w:val="both"/>
              <w:rPr>
                <w:rFonts w:cs="Arial"/>
                <w:sz w:val="20"/>
                <w:szCs w:val="20"/>
              </w:rPr>
            </w:pPr>
            <w:r w:rsidRPr="00F45928">
              <w:rPr>
                <w:rFonts w:cs="Arial"/>
                <w:b/>
                <w:sz w:val="20"/>
                <w:szCs w:val="20"/>
              </w:rPr>
              <w:t xml:space="preserve">Выполнение работ </w:t>
            </w:r>
            <w:r w:rsidR="00F45928" w:rsidRPr="00F45928">
              <w:rPr>
                <w:rFonts w:cs="Arial"/>
                <w:b/>
                <w:sz w:val="20"/>
                <w:szCs w:val="20"/>
              </w:rPr>
              <w:t>по ежедневному (текущему) обслуживанию сетей, оборудования, коммуникаций комплексов по очистке, обработке и переработке сточных вод, цех № 12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AC1C46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 w:rsidRPr="00AC1C46">
              <w:rPr>
                <w:rFonts w:cs="Arial"/>
                <w:sz w:val="20"/>
                <w:szCs w:val="20"/>
              </w:rPr>
              <w:t>реднемесячная заработная плата в Регламенте определения стоимости работ (Приложение №2 к Договору)</w:t>
            </w:r>
            <w:r w:rsidR="001319DA" w:rsidRPr="00C65C80">
              <w:rPr>
                <w:rFonts w:cs="Arial"/>
                <w:sz w:val="20"/>
                <w:szCs w:val="20"/>
              </w:rPr>
              <w:t>, рублей без НДС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36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3506F1" w:rsidP="0039245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06F1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2013, 2014, 2015 г.г.</w:t>
            </w:r>
            <w:r w:rsidR="00132B25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EEB" w:rsidRDefault="00D52EEB" w:rsidP="00FB07D9">
      <w:pPr>
        <w:spacing w:before="0"/>
      </w:pPr>
      <w:r>
        <w:separator/>
      </w:r>
    </w:p>
  </w:endnote>
  <w:endnote w:type="continuationSeparator" w:id="0">
    <w:p w:rsidR="00D52EEB" w:rsidRDefault="00D52EE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ACA" w:rsidRDefault="00315ACA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EEB" w:rsidRDefault="00D52EEB" w:rsidP="00FB07D9">
      <w:pPr>
        <w:spacing w:before="0"/>
      </w:pPr>
      <w:r>
        <w:separator/>
      </w:r>
    </w:p>
  </w:footnote>
  <w:footnote w:type="continuationSeparator" w:id="0">
    <w:p w:rsidR="00D52EEB" w:rsidRDefault="00D52EE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11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73E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201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B2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931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6BD5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3E8"/>
    <w:rsid w:val="00787A10"/>
    <w:rsid w:val="00787B0B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3C15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0F0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6FDE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EEB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2DB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774"/>
    <w:rsid w:val="00EA55C1"/>
    <w:rsid w:val="00EA58DE"/>
    <w:rsid w:val="00EA5E33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8C4DC-559C-458B-98CE-BD2DE1E7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3676</Words>
  <Characters>20956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32</cp:revision>
  <cp:lastPrinted>2016-09-09T09:58:00Z</cp:lastPrinted>
  <dcterms:created xsi:type="dcterms:W3CDTF">2016-09-08T12:35:00Z</dcterms:created>
  <dcterms:modified xsi:type="dcterms:W3CDTF">2016-10-04T05:21:00Z</dcterms:modified>
</cp:coreProperties>
</file>