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60" w:rsidRPr="009C5702" w:rsidRDefault="0036382E" w:rsidP="00DB4D4B">
      <w:pPr>
        <w:pStyle w:val="a4"/>
        <w:suppressAutoHyphens/>
        <w:rPr>
          <w:sz w:val="22"/>
          <w:szCs w:val="22"/>
        </w:rPr>
      </w:pPr>
      <w:r w:rsidRPr="009C5702">
        <w:rPr>
          <w:spacing w:val="80"/>
          <w:sz w:val="22"/>
          <w:szCs w:val="22"/>
        </w:rPr>
        <w:t>ДОГОВОР</w:t>
      </w:r>
      <w:r w:rsidRPr="009C5702">
        <w:rPr>
          <w:sz w:val="22"/>
          <w:szCs w:val="22"/>
        </w:rPr>
        <w:t xml:space="preserve"> №</w:t>
      </w:r>
      <w:r w:rsidR="0028614C" w:rsidRPr="009C5702">
        <w:rPr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AA752F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p w:rsidR="00237744" w:rsidRPr="009C5702" w:rsidRDefault="001F435C" w:rsidP="00237744">
          <w:pPr>
            <w:suppressAutoHyphens/>
            <w:ind w:left="567"/>
            <w:jc w:val="both"/>
            <w:rPr>
              <w:sz w:val="22"/>
              <w:szCs w:val="22"/>
            </w:rPr>
          </w:pPr>
          <w:r w:rsidRPr="001F49C3">
            <w:rPr>
              <w:b/>
              <w:bCs/>
              <w:sz w:val="22"/>
              <w:szCs w:val="22"/>
            </w:rPr>
            <w:t>в соответствии с заданием на проектирование № 9-121 (Разработка мероприятий по переводу технологических печей действующих установок с жидкого топлива на природный газ)</w:t>
          </w:r>
        </w:p>
      </w:sdtContent>
    </w:sdt>
    <w:p w:rsidR="00237744" w:rsidRPr="009C5702" w:rsidRDefault="00237744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4F2C31" w:rsidRPr="009C5702" w:rsidRDefault="004F2C31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p w:rsidR="00803869" w:rsidRPr="009C5702" w:rsidRDefault="00803869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производит</w:t>
      </w:r>
      <w:r w:rsidR="00032ACF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 xml:space="preserve">ся </w:t>
      </w:r>
      <w:r w:rsidR="006C047D" w:rsidRPr="009C5702">
        <w:rPr>
          <w:sz w:val="22"/>
          <w:szCs w:val="22"/>
        </w:rPr>
        <w:t xml:space="preserve">(в части разработки раздела рабочего проекта по автоматизации) </w:t>
      </w:r>
      <w:r w:rsidRPr="009C5702">
        <w:rPr>
          <w:sz w:val="22"/>
          <w:szCs w:val="22"/>
        </w:rPr>
        <w:t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</w:t>
      </w:r>
      <w:r w:rsidR="00B641C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должны соответствовать Приложению №5.</w:t>
      </w:r>
    </w:p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1" w:name="_Ref413755176"/>
      <w:r w:rsidRPr="009C5702">
        <w:rPr>
          <w:sz w:val="22"/>
          <w:szCs w:val="22"/>
        </w:rPr>
        <w:t>Срок выполнения работ по договору:</w:t>
      </w:r>
      <w:bookmarkEnd w:id="1"/>
    </w:p>
    <w:p w:rsidR="004F3D54" w:rsidRPr="009C5702" w:rsidRDefault="00AA752F" w:rsidP="004F3D54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r w:rsidR="001F435C">
            <w:rPr>
              <w:sz w:val="22"/>
              <w:szCs w:val="22"/>
            </w:rPr>
            <w:t xml:space="preserve"> </w:t>
          </w:r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1F435C">
            <w:rPr>
              <w:color w:val="00B0F0"/>
              <w:sz w:val="22"/>
              <w:szCs w:val="22"/>
            </w:rPr>
            <w:t xml:space="preserve"> </w:t>
          </w:r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2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p w:rsidR="006860EA" w:rsidRPr="009C5702" w:rsidRDefault="006860EA" w:rsidP="001F435C">
          <w:pPr>
            <w:numPr>
              <w:ilvl w:val="1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</w:r>
          <w:proofErr w:type="gramStart"/>
          <w:r w:rsidRPr="009C5702">
            <w:rPr>
              <w:sz w:val="22"/>
              <w:szCs w:val="22"/>
            </w:rPr>
            <w:t>предоставить положительное заключение</w:t>
          </w:r>
          <w:proofErr w:type="gramEnd"/>
          <w:r w:rsidRPr="009C5702">
            <w:rPr>
              <w:sz w:val="22"/>
              <w:szCs w:val="22"/>
            </w:rPr>
            <w:t xml:space="preserve">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внесенное в реестр </w:t>
          </w:r>
          <w:proofErr w:type="spellStart"/>
          <w:r w:rsidRPr="009C5702">
            <w:rPr>
              <w:sz w:val="22"/>
              <w:szCs w:val="22"/>
            </w:rPr>
            <w:t>Ростехнадзора</w:t>
          </w:r>
          <w:proofErr w:type="spellEnd"/>
          <w:r w:rsidRPr="009C5702">
            <w:rPr>
              <w:sz w:val="22"/>
              <w:szCs w:val="22"/>
            </w:rPr>
            <w:t xml:space="preserve">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</w:t>
          </w:r>
          <w:proofErr w:type="spellStart"/>
          <w:r w:rsidRPr="009C5702">
            <w:rPr>
              <w:sz w:val="22"/>
              <w:szCs w:val="22"/>
            </w:rPr>
            <w:t>Ростехнадзора</w:t>
          </w:r>
          <w:proofErr w:type="spellEnd"/>
          <w:r w:rsidRPr="009C5702">
            <w:rPr>
              <w:sz w:val="22"/>
              <w:szCs w:val="22"/>
            </w:rPr>
            <w:t>.</w:t>
          </w:r>
        </w:p>
      </w:sdtContent>
    </w:sdt>
    <w:bookmarkEnd w:id="2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1F435C" w:rsidRDefault="001F435C" w:rsidP="001F435C">
          <w:p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 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3" w:name="_Toc140648764"/>
      <w:bookmarkStart w:id="4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3"/>
      <w:bookmarkEnd w:id="4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555B7D" w:rsidP="00DB4D4B">
      <w:pPr>
        <w:suppressAutoHyphens/>
        <w:ind w:left="480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 xml:space="preserve">Виды и объемы работ перечислены в Смете (Приложение № </w:t>
      </w:r>
      <w:r w:rsidR="00C47F98" w:rsidRPr="009C5702">
        <w:rPr>
          <w:bCs/>
          <w:sz w:val="22"/>
          <w:szCs w:val="22"/>
        </w:rPr>
        <w:t>3</w:t>
      </w:r>
      <w:r w:rsidRPr="009C5702">
        <w:rPr>
          <w:bCs/>
          <w:sz w:val="22"/>
          <w:szCs w:val="22"/>
        </w:rPr>
        <w:t xml:space="preserve">), прилагаемой к настоящему Договору и являющейся его неотъемлемой частью. При этом Смета служит исключительно для определения конкретных видов и объемов, но не стоимости работ. </w:t>
      </w:r>
      <w:r w:rsidR="00A321B6" w:rsidRPr="009C5702">
        <w:rPr>
          <w:bCs/>
          <w:sz w:val="22"/>
          <w:szCs w:val="22"/>
        </w:rPr>
        <w:t>Стоимость</w:t>
      </w:r>
      <w:r w:rsidR="00E16F13" w:rsidRPr="009C5702">
        <w:rPr>
          <w:bCs/>
          <w:sz w:val="22"/>
          <w:szCs w:val="22"/>
        </w:rPr>
        <w:t xml:space="preserve"> работ</w:t>
      </w:r>
      <w:r w:rsidR="00A321B6" w:rsidRPr="009C5702">
        <w:rPr>
          <w:bCs/>
          <w:sz w:val="22"/>
          <w:szCs w:val="22"/>
        </w:rPr>
        <w:t xml:space="preserve"> является твердой и не подлежит изменению в ходе выполнения работ по настоящему </w:t>
      </w:r>
      <w:r w:rsidR="002E3D52" w:rsidRPr="009C5702">
        <w:rPr>
          <w:bCs/>
          <w:sz w:val="22"/>
          <w:szCs w:val="22"/>
        </w:rPr>
        <w:t>Д</w:t>
      </w:r>
      <w:r w:rsidR="00A321B6" w:rsidRPr="009C5702">
        <w:rPr>
          <w:bCs/>
          <w:sz w:val="22"/>
          <w:szCs w:val="22"/>
        </w:rPr>
        <w:t>оговору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60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3164DD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5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5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C5702">
        <w:rPr>
          <w:sz w:val="22"/>
          <w:szCs w:val="22"/>
        </w:rPr>
        <w:t>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</w:t>
      </w:r>
      <w:proofErr w:type="gramEnd"/>
      <w:r w:rsidRPr="009C5702">
        <w:rPr>
          <w:sz w:val="22"/>
          <w:szCs w:val="22"/>
        </w:rPr>
        <w:t xml:space="preserve">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C5702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6" w:name="_Toc140648765"/>
      <w:r w:rsidRPr="009C5702">
        <w:rPr>
          <w:sz w:val="22"/>
          <w:szCs w:val="22"/>
        </w:rPr>
        <w:t>Порядок передачи документов</w:t>
      </w:r>
      <w:bookmarkEnd w:id="6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7" w:name="_Ref413762455"/>
      <w:proofErr w:type="gramStart"/>
      <w:r w:rsidRPr="009C5702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7"/>
      <w:proofErr w:type="gramEnd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8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8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3164DD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3164DD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lastRenderedPageBreak/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9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164DD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9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3164DD">
        <w:rPr>
          <w:sz w:val="22"/>
          <w:szCs w:val="22"/>
        </w:rPr>
        <w:t>1.3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0" w:name="_Toc140648767"/>
      <w:r w:rsidRPr="009C5702">
        <w:rPr>
          <w:sz w:val="22"/>
          <w:szCs w:val="22"/>
        </w:rPr>
        <w:t>Права и обязанности сторон</w:t>
      </w:r>
      <w:bookmarkEnd w:id="10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_Ref413762495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164DD">
        <w:rPr>
          <w:sz w:val="22"/>
          <w:szCs w:val="22"/>
        </w:rPr>
        <w:t>2</w:t>
      </w:r>
      <w:r w:rsidR="008D4744" w:rsidRPr="009C5702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164DD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3164DD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1" w:name="_Ref414876020"/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обязан:</w:t>
      </w:r>
      <w:bookmarkEnd w:id="11"/>
      <w:r w:rsidR="004F482F" w:rsidRPr="009C5702">
        <w:rPr>
          <w:sz w:val="22"/>
          <w:szCs w:val="22"/>
        </w:rPr>
        <w:t xml:space="preserve"> 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2" w:name="_Ref413765819"/>
      <w:r w:rsidRPr="009C5702">
        <w:rPr>
          <w:sz w:val="22"/>
          <w:szCs w:val="22"/>
        </w:rPr>
        <w:lastRenderedPageBreak/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2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3164DD" w:rsidRPr="009C5702" w:rsidRDefault="003164D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3164DD">
        <w:rPr>
          <w:sz w:val="22"/>
          <w:szCs w:val="22"/>
        </w:rPr>
        <w:t>5.4.2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</w:t>
      </w:r>
      <w:proofErr w:type="gramStart"/>
      <w:r w:rsidRPr="009C5702">
        <w:rPr>
          <w:sz w:val="22"/>
          <w:szCs w:val="22"/>
        </w:rPr>
        <w:t>с даты заключения</w:t>
      </w:r>
      <w:proofErr w:type="gramEnd"/>
      <w:r w:rsidRPr="009C5702">
        <w:rPr>
          <w:sz w:val="22"/>
          <w:szCs w:val="22"/>
        </w:rPr>
        <w:t xml:space="preserve"> договора (дополнительного соглашения), если более короткие сроки не предусмотрены договором (дополнительным соглашением), заданием на проектирование.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_Ref413766051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3164DD">
        <w:rPr>
          <w:sz w:val="22"/>
          <w:szCs w:val="22"/>
        </w:rPr>
        <w:t>4.2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Договора. 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переданы Заказчику не позднее двух недель с момента передачи соответствующего раздела проекта, если более короткие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Заказчиком в сроки, указанные в п. 5.2.4 настоящего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0E3F91" w:rsidRPr="009C5702">
        <w:rPr>
          <w:sz w:val="22"/>
          <w:szCs w:val="22"/>
        </w:rPr>
        <w:t xml:space="preserve"> либо Ростехнадзора</w:t>
      </w:r>
      <w:r w:rsidRPr="009C5702">
        <w:rPr>
          <w:sz w:val="22"/>
          <w:szCs w:val="22"/>
        </w:rPr>
        <w:t xml:space="preserve"> выполнить такую корректировку (необходимую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3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тчет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3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4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4"/>
    </w:p>
    <w:p w:rsidR="00C84355" w:rsidRPr="009C5702" w:rsidRDefault="009C74FF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5" w:name="_Ref413762701"/>
      <w:r w:rsidRPr="009C5702">
        <w:rPr>
          <w:sz w:val="22"/>
          <w:szCs w:val="22"/>
        </w:rPr>
        <w:t xml:space="preserve">Обеспечить сдачу Заказчику пропусков, </w:t>
      </w:r>
      <w:r w:rsidR="00E05C59" w:rsidRPr="009C5702">
        <w:rPr>
          <w:sz w:val="22"/>
          <w:szCs w:val="22"/>
        </w:rPr>
        <w:t>выданных работникам Подрядчика и привлеченных Подрядчиком субподрядчиков</w:t>
      </w:r>
      <w:r w:rsidR="0048549E">
        <w:rPr>
          <w:sz w:val="22"/>
          <w:szCs w:val="22"/>
        </w:rPr>
        <w:t xml:space="preserve"> (далее – Работники)</w:t>
      </w:r>
      <w:r w:rsidR="00E05C59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не позднее дня, следующего за днем </w:t>
      </w:r>
      <w:r w:rsidRPr="009C5702">
        <w:rPr>
          <w:sz w:val="22"/>
          <w:szCs w:val="22"/>
        </w:rPr>
        <w:lastRenderedPageBreak/>
        <w:t>окончания срока дейс</w:t>
      </w:r>
      <w:r w:rsidR="00167BF1" w:rsidRPr="009C5702">
        <w:rPr>
          <w:sz w:val="22"/>
          <w:szCs w:val="22"/>
        </w:rPr>
        <w:t xml:space="preserve">твия соответствующего пропуска, или за днем увольнения </w:t>
      </w:r>
      <w:r w:rsidR="0048549E">
        <w:rPr>
          <w:sz w:val="22"/>
          <w:szCs w:val="22"/>
        </w:rPr>
        <w:t>Р</w:t>
      </w:r>
      <w:r w:rsidR="00167BF1" w:rsidRPr="009C5702">
        <w:rPr>
          <w:sz w:val="22"/>
          <w:szCs w:val="22"/>
        </w:rPr>
        <w:t>аботника - в зависимости от того, что наступит раньше.</w:t>
      </w:r>
      <w:bookmarkEnd w:id="15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6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6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</w:t>
      </w:r>
      <w:r w:rsidR="0048549E">
        <w:rPr>
          <w:sz w:val="22"/>
          <w:szCs w:val="22"/>
        </w:rPr>
        <w:t>Р</w:t>
      </w:r>
      <w:r w:rsidR="00900C30" w:rsidRPr="009C5702">
        <w:rPr>
          <w:sz w:val="22"/>
          <w:szCs w:val="22"/>
        </w:rPr>
        <w:t>аботниками</w:t>
      </w:r>
      <w:r w:rsidR="0048549E">
        <w:rPr>
          <w:sz w:val="22"/>
          <w:szCs w:val="22"/>
        </w:rPr>
        <w:t>)</w:t>
      </w:r>
      <w:r w:rsidR="00900C3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48549E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Довести </w:t>
      </w:r>
      <w:r>
        <w:rPr>
          <w:sz w:val="22"/>
          <w:szCs w:val="22"/>
        </w:rPr>
        <w:t>до сведения</w:t>
      </w:r>
      <w:r w:rsidRPr="009C570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Работников </w:t>
      </w:r>
      <w:r w:rsidRPr="009C5702">
        <w:rPr>
          <w:sz w:val="22"/>
          <w:szCs w:val="22"/>
        </w:rPr>
        <w:t xml:space="preserve">требования указанных в </w:t>
      </w:r>
      <w:r>
        <w:rPr>
          <w:sz w:val="22"/>
          <w:szCs w:val="22"/>
        </w:rPr>
        <w:t xml:space="preserve">пункте 5.4.14 договора </w:t>
      </w:r>
      <w:r w:rsidRPr="009C5702">
        <w:rPr>
          <w:sz w:val="22"/>
          <w:szCs w:val="22"/>
        </w:rPr>
        <w:t>локальных нормативных а</w:t>
      </w:r>
      <w:r>
        <w:rPr>
          <w:sz w:val="22"/>
          <w:szCs w:val="22"/>
        </w:rPr>
        <w:t>ктов Заказчика</w:t>
      </w:r>
      <w:r w:rsidRPr="009C5702">
        <w:rPr>
          <w:sz w:val="22"/>
          <w:szCs w:val="22"/>
        </w:rPr>
        <w:t>, проводить специальное обучение</w:t>
      </w:r>
      <w:r>
        <w:rPr>
          <w:sz w:val="22"/>
          <w:szCs w:val="22"/>
        </w:rPr>
        <w:t xml:space="preserve"> Р</w:t>
      </w:r>
      <w:r w:rsidRPr="009C5702">
        <w:rPr>
          <w:sz w:val="22"/>
          <w:szCs w:val="22"/>
        </w:rPr>
        <w:t xml:space="preserve">аботников </w:t>
      </w:r>
      <w:r>
        <w:rPr>
          <w:sz w:val="22"/>
          <w:szCs w:val="22"/>
        </w:rPr>
        <w:t xml:space="preserve">соблюдению </w:t>
      </w:r>
      <w:r w:rsidRPr="009C5702">
        <w:rPr>
          <w:sz w:val="22"/>
          <w:szCs w:val="22"/>
        </w:rPr>
        <w:t>требовани</w:t>
      </w:r>
      <w:r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указанных документов, </w:t>
      </w:r>
      <w:r>
        <w:rPr>
          <w:sz w:val="22"/>
          <w:szCs w:val="22"/>
        </w:rPr>
        <w:t xml:space="preserve">обеспечить соблюдение, </w:t>
      </w:r>
      <w:r w:rsidRPr="009C5702">
        <w:rPr>
          <w:sz w:val="22"/>
          <w:szCs w:val="22"/>
        </w:rPr>
        <w:t xml:space="preserve">контролировать знание и исполнение </w:t>
      </w:r>
      <w:r>
        <w:rPr>
          <w:sz w:val="22"/>
          <w:szCs w:val="22"/>
        </w:rPr>
        <w:t xml:space="preserve">Работниками требований указанных документов </w:t>
      </w:r>
      <w:r w:rsidRPr="009C5702">
        <w:rPr>
          <w:sz w:val="22"/>
          <w:szCs w:val="22"/>
        </w:rPr>
        <w:t>при организации и выполнении работ на территории Заказчика</w:t>
      </w:r>
      <w:r>
        <w:rPr>
          <w:sz w:val="22"/>
          <w:szCs w:val="22"/>
        </w:rPr>
        <w:t xml:space="preserve">. В частности, </w:t>
      </w:r>
      <w:r w:rsidRPr="007D3E37">
        <w:rPr>
          <w:sz w:val="22"/>
          <w:szCs w:val="22"/>
        </w:rPr>
        <w:t xml:space="preserve">исключить появление </w:t>
      </w:r>
      <w:r>
        <w:rPr>
          <w:sz w:val="22"/>
          <w:szCs w:val="22"/>
        </w:rPr>
        <w:t>Работников</w:t>
      </w:r>
      <w:r w:rsidRPr="007D3E37">
        <w:rPr>
          <w:sz w:val="22"/>
          <w:szCs w:val="22"/>
        </w:rPr>
        <w:t xml:space="preserve"> на территории Заказчика в состоянии алкогольного, наркотического ил</w:t>
      </w:r>
      <w:r>
        <w:rPr>
          <w:sz w:val="22"/>
          <w:szCs w:val="22"/>
        </w:rPr>
        <w:t>и иного токсического опьянения</w:t>
      </w:r>
      <w:r w:rsidR="00C35DCB"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 xml:space="preserve">беспечить привлекаемых к выполнению настоящего договора </w:t>
      </w:r>
      <w:r w:rsidR="0048549E">
        <w:rPr>
          <w:sz w:val="22"/>
          <w:szCs w:val="22"/>
        </w:rPr>
        <w:t>Р</w:t>
      </w:r>
      <w:r w:rsidR="008A3DDA" w:rsidRPr="009C5702">
        <w:rPr>
          <w:sz w:val="22"/>
          <w:szCs w:val="22"/>
        </w:rPr>
        <w:t>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7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</w:t>
      </w:r>
      <w:r w:rsidR="00556AAA">
        <w:rPr>
          <w:sz w:val="22"/>
          <w:szCs w:val="22"/>
        </w:rPr>
        <w:t>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18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18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19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19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9C5702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20" w:name="_Ref413762405"/>
      <w:r w:rsidRPr="009C5702">
        <w:rPr>
          <w:sz w:val="22"/>
          <w:szCs w:val="22"/>
        </w:rPr>
        <w:t>Ответственность</w:t>
      </w:r>
      <w:bookmarkEnd w:id="20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1.4,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 xml:space="preserve">Заказчик в этом случае также вправе привлечь для устранения недостатков третье лицо, при </w:t>
      </w:r>
      <w:r w:rsidR="00E770F3" w:rsidRPr="009C5702">
        <w:rPr>
          <w:sz w:val="22"/>
          <w:szCs w:val="22"/>
        </w:rPr>
        <w:lastRenderedPageBreak/>
        <w:t>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3164DD">
        <w:rPr>
          <w:color w:val="000000"/>
          <w:sz w:val="22"/>
          <w:szCs w:val="22"/>
        </w:rPr>
        <w:t>1.3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_Ref413762649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164DD">
        <w:rPr>
          <w:sz w:val="22"/>
          <w:szCs w:val="22"/>
        </w:rPr>
        <w:t>5.4.12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164DD">
        <w:rPr>
          <w:sz w:val="22"/>
          <w:szCs w:val="22"/>
        </w:rPr>
        <w:t>5.4.11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60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164DD">
        <w:rPr>
          <w:sz w:val="22"/>
          <w:szCs w:val="22"/>
        </w:rPr>
        <w:t>1.3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164DD">
        <w:rPr>
          <w:sz w:val="22"/>
          <w:szCs w:val="22"/>
        </w:rPr>
        <w:t>1.4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164DD">
        <w:rPr>
          <w:sz w:val="22"/>
          <w:szCs w:val="22"/>
        </w:rPr>
        <w:t>5.4.13</w:t>
      </w:r>
      <w:r w:rsidR="008D4744" w:rsidRPr="009C5702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</w:t>
      </w:r>
      <w:r w:rsidR="0048549E">
        <w:rPr>
          <w:sz w:val="22"/>
          <w:szCs w:val="22"/>
        </w:rPr>
        <w:t>Р</w:t>
      </w:r>
      <w:r w:rsidR="00733084" w:rsidRPr="009C5702">
        <w:rPr>
          <w:sz w:val="22"/>
          <w:szCs w:val="22"/>
        </w:rPr>
        <w:t>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164DD">
        <w:rPr>
          <w:sz w:val="22"/>
          <w:szCs w:val="22"/>
        </w:rPr>
        <w:t>5.4.14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164DD">
        <w:rPr>
          <w:sz w:val="22"/>
          <w:szCs w:val="22"/>
        </w:rPr>
        <w:t>5.4.21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164DD">
        <w:rPr>
          <w:sz w:val="22"/>
          <w:szCs w:val="22"/>
        </w:rPr>
        <w:t>6.2.14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164DD">
        <w:rPr>
          <w:sz w:val="22"/>
          <w:szCs w:val="22"/>
        </w:rPr>
        <w:t>5.4.25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1" w:name="_Ref413762715"/>
      <w:proofErr w:type="gramStart"/>
      <w:r w:rsidRPr="009C5702">
        <w:rPr>
          <w:sz w:val="22"/>
          <w:szCs w:val="22"/>
        </w:rPr>
        <w:t xml:space="preserve">В случае нарушения </w:t>
      </w:r>
      <w:r w:rsidR="0048549E">
        <w:rPr>
          <w:sz w:val="22"/>
          <w:szCs w:val="22"/>
        </w:rPr>
        <w:t>Р</w:t>
      </w:r>
      <w:r w:rsidRPr="009C5702">
        <w:rPr>
          <w:sz w:val="22"/>
          <w:szCs w:val="22"/>
        </w:rPr>
        <w:t xml:space="preserve">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1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п.5.4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не несет ответственности за причинение вреда имуществу или здоровью, травмы, увечья или смерть любого </w:t>
      </w:r>
      <w:r w:rsidR="0048549E">
        <w:rPr>
          <w:sz w:val="22"/>
          <w:szCs w:val="22"/>
        </w:rPr>
        <w:t>Р</w:t>
      </w:r>
      <w:r w:rsidRPr="009C5702">
        <w:rPr>
          <w:sz w:val="22"/>
          <w:szCs w:val="22"/>
        </w:rPr>
        <w:t>аботника Подрядчика или субподрядчика, привлеченного Подрядчиком,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2" w:name="_Toc140648769"/>
      <w:r w:rsidRPr="009C5702">
        <w:rPr>
          <w:sz w:val="22"/>
          <w:szCs w:val="22"/>
        </w:rPr>
        <w:t>Арбитраж</w:t>
      </w:r>
      <w:bookmarkEnd w:id="22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3" w:name="_Toc140648770"/>
      <w:r w:rsidRPr="009C5702">
        <w:rPr>
          <w:sz w:val="22"/>
          <w:szCs w:val="22"/>
        </w:rPr>
        <w:t>Форс-мажор</w:t>
      </w:r>
      <w:bookmarkEnd w:id="23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4" w:name="_Toc140648771"/>
      <w:r w:rsidRPr="009C5702">
        <w:rPr>
          <w:sz w:val="22"/>
          <w:szCs w:val="22"/>
        </w:rPr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4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25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proofErr w:type="gramStart"/>
      <w:r w:rsidR="00E430B5" w:rsidRPr="009C5702">
        <w:rPr>
          <w:sz w:val="22"/>
          <w:szCs w:val="22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</w:t>
      </w:r>
      <w:r w:rsidR="00E430B5" w:rsidRPr="009C5702">
        <w:rPr>
          <w:sz w:val="22"/>
          <w:szCs w:val="22"/>
        </w:rPr>
        <w:lastRenderedPageBreak/>
        <w:t>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25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6" w:name="_Toc140648773"/>
      <w:r w:rsidRPr="009C5702">
        <w:rPr>
          <w:sz w:val="22"/>
          <w:szCs w:val="22"/>
        </w:rPr>
        <w:t>Приложения</w:t>
      </w:r>
      <w:bookmarkEnd w:id="26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Задание на проектирование. 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Календарный план.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Смета.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Форма отчета о ходе выполнения проектных работ.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Состав и содерж</w:t>
          </w:r>
          <w:bookmarkStart w:id="27" w:name="_GoBack"/>
          <w:bookmarkEnd w:id="27"/>
          <w:r w:rsidRPr="009C5702">
            <w:rPr>
              <w:sz w:val="22"/>
              <w:szCs w:val="22"/>
            </w:rPr>
            <w:t>ание раздела рабочего проекта по автоматизации.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Требования к передаче документации.</w:t>
          </w:r>
        </w:p>
        <w:p w:rsidR="005C3727" w:rsidRPr="009C5702" w:rsidRDefault="00AA752F" w:rsidP="005C3727">
          <w:pPr>
            <w:suppressAutoHyphens/>
            <w:rPr>
              <w:sz w:val="22"/>
              <w:szCs w:val="22"/>
            </w:rPr>
          </w:pPr>
        </w:p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4854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1134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52F" w:rsidRDefault="00AA752F">
      <w:r>
        <w:separator/>
      </w:r>
    </w:p>
  </w:endnote>
  <w:endnote w:type="continuationSeparator" w:id="0">
    <w:p w:rsidR="00AA752F" w:rsidRDefault="00AA7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F435C">
      <w:rPr>
        <w:rStyle w:val="a8"/>
        <w:noProof/>
      </w:rPr>
      <w:t>2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52F" w:rsidRDefault="00AA752F">
      <w:r>
        <w:separator/>
      </w:r>
    </w:p>
  </w:footnote>
  <w:footnote w:type="continuationSeparator" w:id="0">
    <w:p w:rsidR="00AA752F" w:rsidRDefault="00AA7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Типовой договор ОАО «Славнефть-ЯНОС»</w:t>
    </w: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№ 02-ПРО (Подряд на выполнение проектных работ)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U+PC2ts3tQMNggadWcI5eDG/FN0=" w:salt="zv4JAGCyQjlLvjncW4vF2A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1DCC"/>
    <w:rsid w:val="000435A4"/>
    <w:rsid w:val="000438BD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17D8"/>
    <w:rsid w:val="0009219F"/>
    <w:rsid w:val="00092A21"/>
    <w:rsid w:val="00093356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435C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164DD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549E"/>
    <w:rsid w:val="00486057"/>
    <w:rsid w:val="00486A9F"/>
    <w:rsid w:val="00487222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AAA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F8C"/>
    <w:rsid w:val="005A5D48"/>
    <w:rsid w:val="005A61E1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2C9A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4133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48F1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A752F"/>
    <w:rsid w:val="00AB0746"/>
    <w:rsid w:val="00AB0B21"/>
    <w:rsid w:val="00AB2C32"/>
    <w:rsid w:val="00AB6D9B"/>
    <w:rsid w:val="00AB747A"/>
    <w:rsid w:val="00AC1400"/>
    <w:rsid w:val="00AC1BC4"/>
    <w:rsid w:val="00AC2B57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6484"/>
    <w:rsid w:val="00AE1733"/>
    <w:rsid w:val="00AE3BED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7DC1"/>
    <w:rsid w:val="00BA1870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E6F44"/>
    <w:rsid w:val="00DF3020"/>
    <w:rsid w:val="00DF5820"/>
    <w:rsid w:val="00DF712A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690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21340"/>
    <w:rsid w:val="00F21A91"/>
    <w:rsid w:val="00F21CCF"/>
    <w:rsid w:val="00F238A7"/>
    <w:rsid w:val="00F240CF"/>
    <w:rsid w:val="00F24767"/>
    <w:rsid w:val="00F27956"/>
    <w:rsid w:val="00F27AFD"/>
    <w:rsid w:val="00F27C67"/>
    <w:rsid w:val="00F31E90"/>
    <w:rsid w:val="00F320A7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2834BD"/>
    <w:rsid w:val="004874ED"/>
    <w:rsid w:val="00494D4C"/>
    <w:rsid w:val="00725E85"/>
    <w:rsid w:val="007B2F9A"/>
    <w:rsid w:val="00812326"/>
    <w:rsid w:val="008620C6"/>
    <w:rsid w:val="0087658E"/>
    <w:rsid w:val="008904C2"/>
    <w:rsid w:val="00934BE3"/>
    <w:rsid w:val="009669A5"/>
    <w:rsid w:val="00A003D3"/>
    <w:rsid w:val="00B96963"/>
    <w:rsid w:val="00C750A2"/>
    <w:rsid w:val="00C80E1E"/>
    <w:rsid w:val="00D9251A"/>
    <w:rsid w:val="00E76ADC"/>
    <w:rsid w:val="00EB24BA"/>
    <w:rsid w:val="00F35FFC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697F9-C9ED-4E09-9CBA-80BA32C0F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5443</Words>
  <Characters>31031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36402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Осокин Максим Юрьевич</cp:lastModifiedBy>
  <cp:revision>3</cp:revision>
  <cp:lastPrinted>2011-05-24T07:15:00Z</cp:lastPrinted>
  <dcterms:created xsi:type="dcterms:W3CDTF">2015-04-02T06:13:00Z</dcterms:created>
  <dcterms:modified xsi:type="dcterms:W3CDTF">2015-04-02T06:17:00Z</dcterms:modified>
</cp:coreProperties>
</file>