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04102C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bookmarkStart w:id="1" w:name="_GoBack"/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не входящих в объемы капитальных ремонтов согласно графику простоев по ПЧ № 13, 14, 15  в соответствии с </w:t>
          </w:r>
          <w:r w:rsidR="00126263" w:rsidRPr="006B3442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  <w:bookmarkEnd w:id="1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Объемы и виды выполняемых работ определяются дефектными ведомостями и  локальными сметами, являющимися неотъемлемой частью приложений к настоящему договору.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126263" w:rsidRPr="006B3442">
            <w:rPr>
              <w:rFonts w:ascii="Times New Roman" w:hAnsi="Times New Roman"/>
              <w:b/>
              <w:sz w:val="23"/>
              <w:szCs w:val="23"/>
            </w:rPr>
            <w:t>начало работ – апрель 2016 г., окончание работ – 31.03.2019 г.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proofErr w:type="gramStart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896A70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126263" w:rsidRPr="006B3442">
            <w:rPr>
              <w:b/>
              <w:sz w:val="23"/>
              <w:szCs w:val="23"/>
            </w:rPr>
            <w:t>20 000 000 (двадцать миллионов) руб.,</w:t>
          </w:r>
          <w:r w:rsidR="00126263" w:rsidRPr="006B3442">
            <w:rPr>
              <w:sz w:val="23"/>
              <w:szCs w:val="23"/>
            </w:rPr>
            <w:t xml:space="preserve"> кроме того НДС – 3 600 000 руб.</w:t>
          </w:r>
          <w:r w:rsidR="00126263">
            <w:rPr>
              <w:sz w:val="23"/>
              <w:szCs w:val="23"/>
            </w:rPr>
            <w:t xml:space="preserve"> 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96A7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</w:r>
      <w:r w:rsidRPr="00AF1246">
        <w:rPr>
          <w:rFonts w:ascii="Times New Roman" w:hAnsi="Times New Roman"/>
          <w:color w:val="000000"/>
          <w:sz w:val="23"/>
          <w:szCs w:val="23"/>
        </w:rPr>
        <w:t>(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Приложение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к настоящему Договору)</w:t>
      </w:r>
      <w:r w:rsidRPr="00AF1246">
        <w:rPr>
          <w:rFonts w:ascii="Times New Roman" w:hAnsi="Times New Roman"/>
          <w:sz w:val="23"/>
          <w:szCs w:val="23"/>
        </w:rPr>
        <w:t>, утвержденных в установленном порядке, с применением Регламента определения стоимости работ (</w:t>
      </w:r>
      <w:r w:rsidRPr="00AF1246">
        <w:rPr>
          <w:rFonts w:ascii="Times New Roman" w:hAnsi="Times New Roman"/>
          <w:b/>
          <w:sz w:val="23"/>
          <w:szCs w:val="23"/>
        </w:rPr>
        <w:t xml:space="preserve">Приложение № 2 </w:t>
      </w:r>
      <w:r w:rsidRPr="00AF1246">
        <w:rPr>
          <w:rFonts w:ascii="Times New Roman" w:hAnsi="Times New Roman"/>
          <w:sz w:val="23"/>
          <w:szCs w:val="23"/>
        </w:rPr>
        <w:t xml:space="preserve">к настоящему Договору) </w:t>
      </w:r>
      <w:r w:rsidRPr="00AF1246">
        <w:rPr>
          <w:rFonts w:ascii="Times New Roman" w:hAnsi="Times New Roman"/>
          <w:color w:val="000000"/>
          <w:sz w:val="23"/>
          <w:szCs w:val="23"/>
        </w:rPr>
        <w:t>зафикси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рованного данным Договором.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126263">
            <w:rPr>
              <w:rFonts w:ascii="Times New Roman" w:hAnsi="Times New Roman"/>
              <w:sz w:val="23"/>
              <w:szCs w:val="23"/>
            </w:rPr>
            <w:t>30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% от стоимости работ по настоящему Договору, указанной в п. </w:t>
          </w:r>
          <w:fldSimple w:instr=" REF _Ref438644310 \r \h  \* MERGEFORMAT ">
            <w:r w:rsidR="00896A7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lastRenderedPageBreak/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126263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126263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896A70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96A7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96A70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</w:t>
      </w:r>
      <w:r w:rsidRPr="00AF1246">
        <w:rPr>
          <w:rFonts w:ascii="Times New Roman" w:hAnsi="Times New Roman"/>
          <w:sz w:val="23"/>
          <w:szCs w:val="23"/>
        </w:rPr>
        <w:lastRenderedPageBreak/>
        <w:t>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96A7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896A7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896A70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96A7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96A7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96A7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126263">
            <w:rPr>
              <w:sz w:val="23"/>
              <w:szCs w:val="23"/>
            </w:rPr>
            <w:t>30.03.2019 г</w:t>
          </w:r>
          <w:r w:rsidRPr="00AF1246">
            <w:rPr>
              <w:sz w:val="23"/>
              <w:szCs w:val="23"/>
            </w:rPr>
            <w:t xml:space="preserve">, по расчетам до полного их урегулирования. </w:t>
          </w:r>
          <w:proofErr w:type="gramStart"/>
          <w:r w:rsidRPr="00AF1246">
            <w:rPr>
              <w:sz w:val="23"/>
              <w:szCs w:val="23"/>
            </w:rPr>
            <w:t>Необходимость индексации стоимости работ по данному Договору (пересмотр Регламента определения стоимости работ) определяется ежегодно дополнительными соглашением между Сторонами, но не более одного раза в год.</w:t>
          </w:r>
          <w:proofErr w:type="gramEnd"/>
          <w:r w:rsidRPr="00AF1246">
            <w:rPr>
              <w:sz w:val="23"/>
              <w:szCs w:val="23"/>
            </w:rPr>
            <w:t xml:space="preserve"> В случае если стороны не согласуют стоимость работ на следующий год, действие договора прекращается.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1. Виды работ не входящих в объемы капитальных ремонтов согласно графику    </w:t>
          </w:r>
        </w:p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>простоев по ПЧ № 13, 14, 15 апрель 2016 - март 2019 г.г.</w:t>
          </w:r>
        </w:p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2. Регламент определения стоимости работ  на весь период их выполнения.   </w:t>
          </w:r>
        </w:p>
        <w:p w:rsidR="00126263" w:rsidRPr="006B3442" w:rsidRDefault="00126263" w:rsidP="00126263">
          <w:pPr>
            <w:rPr>
              <w:rFonts w:ascii="Times New Roman" w:hAnsi="Times New Roman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>Выполнение работ не входящих в объемы капитальных ремонтов согласно графику простоев по ПЧ № 13, 14, 15    апрель 2016 - март 2019 г.г.</w:t>
          </w:r>
        </w:p>
        <w:p w:rsidR="001B5158" w:rsidRPr="00AF1246" w:rsidRDefault="00126263" w:rsidP="00126263">
          <w:pPr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6B3442">
            <w:rPr>
              <w:rFonts w:ascii="Times New Roman" w:hAnsi="Times New Roman"/>
              <w:sz w:val="23"/>
              <w:szCs w:val="23"/>
            </w:rPr>
            <w:t xml:space="preserve">3. </w:t>
          </w:r>
          <w:r w:rsidRPr="006B3442">
            <w:rPr>
              <w:rFonts w:ascii="Times New Roman" w:hAnsi="Times New Roman"/>
              <w:sz w:val="23"/>
              <w:szCs w:val="23"/>
              <w:lang w:eastAsia="en-US"/>
            </w:rPr>
            <w:t>Требования к применению расценок.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94" w:rsidRDefault="00382C94" w:rsidP="00D736E8">
      <w:pPr>
        <w:spacing w:before="0"/>
      </w:pPr>
      <w:r>
        <w:separator/>
      </w:r>
    </w:p>
  </w:endnote>
  <w:endnote w:type="continuationSeparator" w:id="0">
    <w:p w:rsidR="00382C94" w:rsidRDefault="00382C94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04102C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26263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94" w:rsidRDefault="00382C94" w:rsidP="00D736E8">
      <w:pPr>
        <w:spacing w:before="0"/>
      </w:pPr>
      <w:r>
        <w:separator/>
      </w:r>
    </w:p>
  </w:footnote>
  <w:footnote w:type="continuationSeparator" w:id="0">
    <w:p w:rsidR="00382C94" w:rsidRDefault="00382C94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B95FE6">
      <w:t>28</w:t>
    </w:r>
    <w:r w:rsidRPr="00D736E8">
      <w:t>.12.2015)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>
      <w:t>2</w:t>
    </w:r>
    <w:r w:rsidR="00B95FE6">
      <w:t>8</w:t>
    </w:r>
    <w:r w:rsidRPr="00D736E8">
      <w:t>.12.2015)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DkqaOpYjKX2VTKA1SAEGM7+0Y0g=" w:salt="LNXqQ5kompBFmakGRufpu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4102C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263"/>
    <w:rsid w:val="00126B18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20079"/>
    <w:rsid w:val="00371D55"/>
    <w:rsid w:val="00382C94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3ACA"/>
    <w:rsid w:val="004F4D8E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C2E2C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B20ABF"/>
    <w:rsid w:val="00B252F5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059FF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74710"/>
    <w:rsid w:val="002F6584"/>
    <w:rsid w:val="004C5486"/>
    <w:rsid w:val="00520B9E"/>
    <w:rsid w:val="00627FF0"/>
    <w:rsid w:val="00866220"/>
    <w:rsid w:val="009F44BC"/>
    <w:rsid w:val="00B06720"/>
    <w:rsid w:val="00B742AB"/>
    <w:rsid w:val="00BE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6A7CB-4E9F-41C6-9909-DF8FE85B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5876</Words>
  <Characters>33496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BedarevVA</cp:lastModifiedBy>
  <cp:revision>3</cp:revision>
  <cp:lastPrinted>2015-12-03T06:22:00Z</cp:lastPrinted>
  <dcterms:created xsi:type="dcterms:W3CDTF">2016-01-25T07:32:00Z</dcterms:created>
  <dcterms:modified xsi:type="dcterms:W3CDTF">2016-01-25T07:41:00Z</dcterms:modified>
</cp:coreProperties>
</file>