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46370E">
        <w:t>328</w:t>
      </w:r>
      <w:r w:rsidR="001A0F08">
        <w:t>-</w:t>
      </w:r>
      <w:r w:rsidR="00234D4F">
        <w:t>КС-</w:t>
      </w:r>
      <w:r w:rsidR="00CD5D52" w:rsidRPr="00CD5D52">
        <w:t>201</w:t>
      </w:r>
      <w:r w:rsidR="001018D4">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6370E">
        <w:t>328</w:t>
      </w:r>
      <w:r w:rsidR="00CD5D52" w:rsidRPr="00CD5D52">
        <w:t>-КС-201</w:t>
      </w:r>
      <w:r w:rsidR="001018D4">
        <w:t>6</w:t>
      </w:r>
      <w:r w:rsidR="00026FB9">
        <w:t xml:space="preserve"> </w:t>
      </w:r>
      <w:r w:rsidR="00546D76">
        <w:t xml:space="preserve">от </w:t>
      </w:r>
      <w:r w:rsidR="00A25911">
        <w:t>09.09</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работ </w:t>
      </w:r>
      <w:r w:rsidR="001018D4" w:rsidRPr="00686EF3">
        <w:rPr>
          <w:b/>
        </w:rPr>
        <w:t xml:space="preserve">по </w:t>
      </w:r>
      <w:r w:rsidR="001018D4">
        <w:rPr>
          <w:b/>
        </w:rPr>
        <w:t xml:space="preserve">техническому перевооружению установок </w:t>
      </w:r>
      <w:r w:rsidR="0046370E">
        <w:rPr>
          <w:b/>
        </w:rPr>
        <w:t>К</w:t>
      </w:r>
      <w:r w:rsidR="001018D4">
        <w:rPr>
          <w:b/>
        </w:rPr>
        <w:t>аталитического производства</w:t>
      </w:r>
      <w:r w:rsidR="0046370E">
        <w:rPr>
          <w:b/>
        </w:rPr>
        <w:t>: установки 1А-1М, ЛГ-35/11, Л-35/6</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6370E">
        <w:t>328</w:t>
      </w:r>
      <w:r w:rsidR="00CD5D52" w:rsidRPr="00CD5D52">
        <w:t>-</w:t>
      </w:r>
      <w:r w:rsidR="00F53E1B">
        <w:t>КС</w:t>
      </w:r>
      <w:r w:rsidR="00CD5D52" w:rsidRPr="00CD5D52">
        <w:t>-201</w:t>
      </w:r>
      <w:r w:rsidR="001018D4">
        <w:t>6</w:t>
      </w:r>
    </w:p>
    <w:p w:rsidR="001E2DD9" w:rsidRDefault="00F06FE6"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F06FE6" w:rsidRDefault="00F06FE6" w:rsidP="009332C1">
                  <w:r>
                    <w:t>На бланке организации</w:t>
                  </w:r>
                </w:p>
                <w:p w:rsidR="00F06FE6" w:rsidRPr="009332C1" w:rsidRDefault="00F06FE6">
                  <w:pPr>
                    <w:rPr>
                      <w:sz w:val="16"/>
                      <w:szCs w:val="16"/>
                    </w:rPr>
                  </w:pPr>
                </w:p>
                <w:p w:rsidR="00F06FE6" w:rsidRDefault="00F06FE6">
                  <w:r>
                    <w:t>&lt;исходящий номер&gt;</w:t>
                  </w:r>
                </w:p>
                <w:p w:rsidR="00F06FE6" w:rsidRPr="00B95502" w:rsidRDefault="00F06FE6">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r w:rsidR="0014302C">
        <w:rPr>
          <w:b/>
          <w:bCs/>
        </w:rPr>
        <w:t xml:space="preserve"> ⃰</w:t>
      </w:r>
    </w:p>
    <w:p w:rsidR="001E2DD9" w:rsidRDefault="001E2DD9">
      <w:pPr>
        <w:jc w:val="center"/>
      </w:pPr>
      <w:r>
        <w:t>(безотзывная оферта)</w:t>
      </w: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работ </w:t>
      </w:r>
      <w:r w:rsidR="001018D4" w:rsidRPr="00686EF3">
        <w:rPr>
          <w:b/>
        </w:rPr>
        <w:t xml:space="preserve">по </w:t>
      </w:r>
      <w:r w:rsidR="001018D4">
        <w:rPr>
          <w:b/>
        </w:rPr>
        <w:t xml:space="preserve">техническому перевооружению установок </w:t>
      </w:r>
      <w:r w:rsidR="0046370E">
        <w:rPr>
          <w:b/>
        </w:rPr>
        <w:t>К</w:t>
      </w:r>
      <w:r w:rsidR="001018D4">
        <w:rPr>
          <w:b/>
        </w:rPr>
        <w:t>аталитического производства</w:t>
      </w:r>
      <w:r w:rsidR="0046370E">
        <w:rPr>
          <w:b/>
        </w:rPr>
        <w:t>: установки 1А-1М, ЛГ-35/11, Л-35/6</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1018D4" w:rsidP="0046370E">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работ </w:t>
            </w:r>
            <w:r w:rsidRPr="00686EF3">
              <w:rPr>
                <w:b/>
              </w:rPr>
              <w:t xml:space="preserve">по </w:t>
            </w:r>
            <w:r>
              <w:rPr>
                <w:b/>
              </w:rPr>
              <w:t xml:space="preserve">техническому перевооружению установок </w:t>
            </w:r>
            <w:r w:rsidR="0046370E">
              <w:rPr>
                <w:b/>
              </w:rPr>
              <w:t>К</w:t>
            </w:r>
            <w:r>
              <w:rPr>
                <w:b/>
              </w:rPr>
              <w:t>аталитического производства</w:t>
            </w:r>
            <w:r w:rsidR="0046370E">
              <w:rPr>
                <w:b/>
              </w:rPr>
              <w:t>: установки 1А-1М, ЛГ-35/11, Л-35/6. Лот №____</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EC5F8B">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EC5F8B">
      <w:pPr>
        <w:rPr>
          <w:b/>
          <w:bCs/>
        </w:rPr>
      </w:pPr>
      <w:r>
        <w:rPr>
          <w:b/>
          <w:bCs/>
        </w:rPr>
        <w:t>2. Настоящее предложение не может быть отозвано и является безотзывной офертой.</w:t>
      </w:r>
    </w:p>
    <w:p w:rsidR="00920439" w:rsidRDefault="0046370E" w:rsidP="00EC5F8B">
      <w:pPr>
        <w:rPr>
          <w:b/>
          <w:bCs/>
        </w:rPr>
      </w:pPr>
      <w:r>
        <w:rPr>
          <w:b/>
          <w:bCs/>
        </w:rPr>
        <w:t>3</w:t>
      </w:r>
      <w:r w:rsidR="00920439">
        <w:rPr>
          <w:b/>
          <w:bCs/>
        </w:rPr>
        <w:t>. Настоящая оферта может быть акцептована не более одного раза.</w:t>
      </w:r>
    </w:p>
    <w:p w:rsidR="00920439" w:rsidRDefault="0046370E" w:rsidP="00EC5F8B">
      <w:pPr>
        <w:rPr>
          <w:b/>
          <w:bCs/>
        </w:rPr>
      </w:pPr>
      <w:r>
        <w:rPr>
          <w:b/>
          <w:bCs/>
        </w:rPr>
        <w:t>4</w:t>
      </w:r>
      <w:r w:rsidR="00920439">
        <w:rPr>
          <w:b/>
          <w:bCs/>
        </w:rPr>
        <w:t>. Акцепт не может содержать условий, отличных от настоящей оферты.</w:t>
      </w:r>
    </w:p>
    <w:p w:rsidR="00920439" w:rsidRDefault="0046370E" w:rsidP="00EC5F8B">
      <w:pPr>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r>
        <w:rPr>
          <w:b/>
          <w:bCs/>
        </w:rPr>
        <w:t>⃰ Форма заполняется для каждого лота отдельно.</w:t>
      </w:r>
    </w:p>
    <w:p w:rsidR="001E2DD9" w:rsidRDefault="0014302C" w:rsidP="0014302C">
      <w:pPr>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46370E">
        <w:t>328</w:t>
      </w:r>
      <w:r w:rsidR="00CD5D52" w:rsidRPr="00CD5D52">
        <w:t>-КС-201</w:t>
      </w:r>
      <w:r w:rsidR="001018D4">
        <w:t>6</w:t>
      </w:r>
    </w:p>
    <w:p w:rsidR="00847EDD" w:rsidRPr="00CD5D52" w:rsidRDefault="00847EDD" w:rsidP="00CD5D52">
      <w:pPr>
        <w:jc w:val="right"/>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1018D4" w:rsidRPr="001018D4">
        <w:rPr>
          <w:b/>
        </w:rPr>
        <w:t>К</w:t>
      </w:r>
      <w:r w:rsidR="001018D4" w:rsidRPr="007B5F45">
        <w:rPr>
          <w:b/>
        </w:rPr>
        <w:t xml:space="preserve">омплекса работ </w:t>
      </w:r>
      <w:r w:rsidR="0046370E" w:rsidRPr="00250D00">
        <w:rPr>
          <w:b/>
        </w:rPr>
        <w:t xml:space="preserve">по техническому перевооружению объектов </w:t>
      </w:r>
      <w:r w:rsidR="0046370E">
        <w:rPr>
          <w:b/>
        </w:rPr>
        <w:t>Каталитического производства</w:t>
      </w:r>
      <w:r w:rsidR="0046370E" w:rsidRPr="00250D00">
        <w:rPr>
          <w:b/>
        </w:rPr>
        <w:t xml:space="preserve">: </w:t>
      </w:r>
      <w:r w:rsidR="0046370E">
        <w:rPr>
          <w:b/>
        </w:rPr>
        <w:t>установки 1А-1М, ЛГ-35/11, Л-35/6</w:t>
      </w:r>
      <w:r w:rsidR="0046370E" w:rsidRPr="00686EF3">
        <w:t xml:space="preserve"> в соответствии с выдаваемой Заказчиком проектно-технической документацией (с приложением ведомостей объёмов работ).</w:t>
      </w:r>
      <w:r w:rsidRPr="004F2728">
        <w:t xml:space="preserve"> </w:t>
      </w:r>
    </w:p>
    <w:p w:rsidR="00943244" w:rsidRPr="00DF4009" w:rsidRDefault="00943244" w:rsidP="00EC5F8B">
      <w:pPr>
        <w:suppressAutoHyphens/>
        <w:spacing w:before="120" w:after="120"/>
        <w:ind w:firstLine="709"/>
        <w:jc w:val="both"/>
        <w:rPr>
          <w:i/>
        </w:rPr>
      </w:pPr>
      <w:r w:rsidRPr="00DF4009">
        <w:rPr>
          <w:i/>
        </w:rPr>
        <w:t xml:space="preserve">Данный предмет закупки выставляется </w:t>
      </w:r>
      <w:r w:rsidR="001018D4" w:rsidRPr="00686EF3">
        <w:rPr>
          <w:i/>
        </w:rPr>
        <w:t xml:space="preserve">в виде </w:t>
      </w:r>
      <w:r w:rsidR="0046370E">
        <w:rPr>
          <w:i/>
        </w:rPr>
        <w:t>двух</w:t>
      </w:r>
      <w:r w:rsidR="001018D4" w:rsidRPr="00686EF3">
        <w:rPr>
          <w:i/>
        </w:rPr>
        <w:t xml:space="preserve"> лот</w:t>
      </w:r>
      <w:r w:rsidR="001018D4">
        <w:rPr>
          <w:i/>
        </w:rPr>
        <w:t>ов</w:t>
      </w:r>
      <w:r w:rsidRPr="00DF4009">
        <w:rPr>
          <w:i/>
        </w:rPr>
        <w:t>.</w:t>
      </w:r>
    </w:p>
    <w:p w:rsidR="001018D4" w:rsidRDefault="001018D4" w:rsidP="00EC5F8B">
      <w:pPr>
        <w:suppressAutoHyphens/>
        <w:spacing w:after="120"/>
        <w:jc w:val="both"/>
        <w:rPr>
          <w:u w:val="single"/>
        </w:rPr>
      </w:pPr>
      <w:r w:rsidRPr="00686EF3">
        <w:rPr>
          <w:u w:val="single"/>
        </w:rPr>
        <w:t>Содержание комплекса работ, вошедших в объем тендера:</w:t>
      </w:r>
    </w:p>
    <w:p w:rsidR="0046370E" w:rsidRDefault="0046370E" w:rsidP="0046370E">
      <w:pPr>
        <w:suppressAutoHyphens/>
        <w:jc w:val="both"/>
        <w:rPr>
          <w:b/>
        </w:rPr>
      </w:pPr>
      <w:r w:rsidRPr="00426155">
        <w:rPr>
          <w:b/>
        </w:rPr>
        <w:t>Лот №1 «Комплекс работ по техническому перевооружению</w:t>
      </w:r>
      <w:r>
        <w:rPr>
          <w:b/>
        </w:rPr>
        <w:t xml:space="preserve"> установки 1А-1М»</w:t>
      </w:r>
      <w:r w:rsidRPr="00426155">
        <w:rPr>
          <w:b/>
        </w:rPr>
        <w:t>:</w:t>
      </w:r>
    </w:p>
    <w:p w:rsidR="0046370E" w:rsidRPr="002B624E" w:rsidRDefault="0046370E" w:rsidP="0046370E">
      <w:pPr>
        <w:numPr>
          <w:ilvl w:val="0"/>
          <w:numId w:val="32"/>
        </w:numPr>
        <w:suppressAutoHyphens/>
        <w:jc w:val="both"/>
      </w:pPr>
      <w:r w:rsidRPr="002B624E">
        <w:t>Программа «</w:t>
      </w:r>
      <w:r>
        <w:t>Повышение эффективности технологических процессов</w:t>
      </w:r>
      <w:r w:rsidRPr="002B624E">
        <w:t>»:</w:t>
      </w:r>
    </w:p>
    <w:p w:rsidR="0046370E" w:rsidRPr="002B624E" w:rsidRDefault="0046370E" w:rsidP="0046370E">
      <w:pPr>
        <w:numPr>
          <w:ilvl w:val="1"/>
          <w:numId w:val="32"/>
        </w:numPr>
        <w:suppressAutoHyphens/>
        <w:jc w:val="both"/>
        <w:rPr>
          <w:i/>
        </w:rPr>
      </w:pPr>
      <w:r w:rsidRPr="007C38F4">
        <w:rPr>
          <w:i/>
        </w:rPr>
        <w:t>Монтаж схемы вывода газового конденсата от н</w:t>
      </w:r>
      <w:r>
        <w:rPr>
          <w:i/>
        </w:rPr>
        <w:t>асосов Н-67,67а в колонну К-135 по проекту 18868.</w:t>
      </w:r>
    </w:p>
    <w:p w:rsidR="0046370E" w:rsidRPr="002B624E" w:rsidRDefault="0046370E" w:rsidP="0046370E">
      <w:pPr>
        <w:numPr>
          <w:ilvl w:val="0"/>
          <w:numId w:val="32"/>
        </w:numPr>
        <w:suppressAutoHyphens/>
        <w:jc w:val="both"/>
      </w:pPr>
      <w:r>
        <w:t>«</w:t>
      </w:r>
      <w:r w:rsidRPr="002B624E">
        <w:t>Оборудование не входящее в смету строек</w:t>
      </w:r>
      <w:r>
        <w:t>»</w:t>
      </w:r>
      <w:r w:rsidRPr="002B624E">
        <w:t>:</w:t>
      </w:r>
    </w:p>
    <w:p w:rsidR="0046370E" w:rsidRDefault="0046370E" w:rsidP="0046370E">
      <w:pPr>
        <w:suppressAutoHyphens/>
        <w:ind w:left="426"/>
        <w:jc w:val="both"/>
        <w:rPr>
          <w:i/>
        </w:rPr>
      </w:pPr>
      <w:r>
        <w:rPr>
          <w:i/>
        </w:rPr>
        <w:t xml:space="preserve">2.1 </w:t>
      </w:r>
      <w:r w:rsidRPr="007C38F4">
        <w:rPr>
          <w:i/>
        </w:rPr>
        <w:t>Замена внутренних циклонов реактора  Р-1</w:t>
      </w:r>
      <w:r>
        <w:rPr>
          <w:i/>
        </w:rPr>
        <w:t xml:space="preserve"> по Ведомости объемов работ</w:t>
      </w:r>
      <w:r w:rsidRPr="009F1209">
        <w:rPr>
          <w:i/>
        </w:rPr>
        <w:t xml:space="preserve"> </w:t>
      </w:r>
      <w:r w:rsidRPr="00415A10">
        <w:rPr>
          <w:i/>
        </w:rPr>
        <w:t>№ 1;</w:t>
      </w:r>
    </w:p>
    <w:p w:rsidR="0046370E" w:rsidRDefault="0046370E" w:rsidP="0046370E">
      <w:pPr>
        <w:suppressAutoHyphens/>
        <w:ind w:left="426"/>
        <w:jc w:val="both"/>
        <w:rPr>
          <w:i/>
        </w:rPr>
      </w:pPr>
      <w:r>
        <w:rPr>
          <w:i/>
        </w:rPr>
        <w:t xml:space="preserve">2.2 </w:t>
      </w:r>
      <w:r w:rsidRPr="007C38F4">
        <w:rPr>
          <w:i/>
        </w:rPr>
        <w:t>Замена  кольцевых воздухораспределителей  реактора  Р-2</w:t>
      </w:r>
      <w:r>
        <w:rPr>
          <w:i/>
        </w:rPr>
        <w:t xml:space="preserve"> по Ведомости объемов работ </w:t>
      </w:r>
      <w:r w:rsidRPr="00415A10">
        <w:rPr>
          <w:i/>
        </w:rPr>
        <w:t>№ 2;</w:t>
      </w:r>
    </w:p>
    <w:p w:rsidR="0046370E" w:rsidRDefault="0046370E" w:rsidP="0046370E">
      <w:pPr>
        <w:suppressAutoHyphens/>
        <w:ind w:left="426"/>
        <w:jc w:val="both"/>
        <w:rPr>
          <w:i/>
        </w:rPr>
      </w:pPr>
      <w:r>
        <w:rPr>
          <w:i/>
        </w:rPr>
        <w:t xml:space="preserve">2.3 </w:t>
      </w:r>
      <w:r w:rsidRPr="005A6D4A">
        <w:rPr>
          <w:i/>
        </w:rPr>
        <w:t>Замена Т-91</w:t>
      </w:r>
      <w:r>
        <w:rPr>
          <w:i/>
        </w:rPr>
        <w:t xml:space="preserve"> по проекту 18854.</w:t>
      </w:r>
    </w:p>
    <w:p w:rsidR="0046370E" w:rsidRPr="006718E5" w:rsidRDefault="0046370E" w:rsidP="00EC5F8B">
      <w:pPr>
        <w:suppressAutoHyphens/>
        <w:spacing w:before="120"/>
        <w:jc w:val="both"/>
        <w:rPr>
          <w:b/>
        </w:rPr>
      </w:pPr>
      <w:r w:rsidRPr="006718E5">
        <w:rPr>
          <w:b/>
        </w:rPr>
        <w:t>Лот №2 «Комплекс работ по техническому перевооружению установ</w:t>
      </w:r>
      <w:r>
        <w:rPr>
          <w:b/>
        </w:rPr>
        <w:t>ки ЛГ-35/11, Л-35/6</w:t>
      </w:r>
      <w:r w:rsidRPr="006718E5">
        <w:rPr>
          <w:b/>
        </w:rPr>
        <w:t>»:</w:t>
      </w:r>
    </w:p>
    <w:p w:rsidR="0046370E" w:rsidRPr="002B624E" w:rsidRDefault="0046370E" w:rsidP="0046370E">
      <w:pPr>
        <w:numPr>
          <w:ilvl w:val="0"/>
          <w:numId w:val="33"/>
        </w:numPr>
        <w:suppressAutoHyphens/>
        <w:jc w:val="both"/>
      </w:pPr>
      <w:r w:rsidRPr="002B624E">
        <w:t xml:space="preserve">Программа «Приведение </w:t>
      </w:r>
      <w:r>
        <w:t>Каталитического производства</w:t>
      </w:r>
      <w:r w:rsidRPr="002B624E">
        <w:t xml:space="preserve"> к требованиям</w:t>
      </w:r>
      <w:r>
        <w:t xml:space="preserve"> новых</w:t>
      </w:r>
      <w:r w:rsidRPr="002B624E">
        <w:t xml:space="preserve"> правил»:</w:t>
      </w:r>
    </w:p>
    <w:p w:rsidR="0046370E" w:rsidRPr="00947907" w:rsidRDefault="0046370E" w:rsidP="0046370E">
      <w:pPr>
        <w:numPr>
          <w:ilvl w:val="1"/>
          <w:numId w:val="33"/>
        </w:numPr>
        <w:suppressAutoHyphens/>
        <w:jc w:val="both"/>
        <w:rPr>
          <w:i/>
        </w:rPr>
      </w:pPr>
      <w:r w:rsidRPr="00947907">
        <w:rPr>
          <w:i/>
        </w:rPr>
        <w:t>Монтаж фильтров на всасывающих линиях  компрессоров ПК-1,2.ПБ 03-582-03  п. 2.5.  по проекту 1</w:t>
      </w:r>
      <w:r>
        <w:rPr>
          <w:i/>
        </w:rPr>
        <w:t>8748;</w:t>
      </w:r>
    </w:p>
    <w:p w:rsidR="0046370E" w:rsidRPr="00947907" w:rsidRDefault="0046370E" w:rsidP="0046370E">
      <w:pPr>
        <w:numPr>
          <w:ilvl w:val="1"/>
          <w:numId w:val="33"/>
        </w:numPr>
        <w:suppressAutoHyphens/>
        <w:jc w:val="both"/>
        <w:rPr>
          <w:i/>
        </w:rPr>
      </w:pPr>
      <w:r w:rsidRPr="00947907">
        <w:rPr>
          <w:i/>
        </w:rPr>
        <w:t>Оснащение компрессоров ЦК-1, ПК-1,2 отсекающими устройствами с дистанционным управлением.</w:t>
      </w:r>
      <w:r>
        <w:rPr>
          <w:i/>
        </w:rPr>
        <w:t xml:space="preserve"> </w:t>
      </w:r>
      <w:r w:rsidRPr="00947907">
        <w:rPr>
          <w:i/>
        </w:rPr>
        <w:t>ФНиП п.4.1.2.по проекту 18</w:t>
      </w:r>
      <w:r>
        <w:rPr>
          <w:i/>
        </w:rPr>
        <w:t>751;</w:t>
      </w:r>
    </w:p>
    <w:p w:rsidR="0046370E" w:rsidRPr="00947907" w:rsidRDefault="0046370E" w:rsidP="0046370E">
      <w:pPr>
        <w:numPr>
          <w:ilvl w:val="1"/>
          <w:numId w:val="33"/>
        </w:numPr>
        <w:suppressAutoHyphens/>
        <w:jc w:val="both"/>
        <w:rPr>
          <w:i/>
        </w:rPr>
      </w:pPr>
      <w:r w:rsidRPr="00947907">
        <w:rPr>
          <w:i/>
        </w:rPr>
        <w:t>Монтаж системы автоматического аварийного сброса газ</w:t>
      </w:r>
      <w:r>
        <w:rPr>
          <w:i/>
        </w:rPr>
        <w:t xml:space="preserve">а  с компрессоров ПК-1,2. </w:t>
      </w:r>
      <w:r w:rsidRPr="00947907">
        <w:rPr>
          <w:i/>
        </w:rPr>
        <w:t>ПБ 03-582-03 п. 3.10.  по проекту 18</w:t>
      </w:r>
      <w:r>
        <w:rPr>
          <w:i/>
        </w:rPr>
        <w:t>749</w:t>
      </w:r>
      <w:r w:rsidR="000F00A6">
        <w:rPr>
          <w:i/>
        </w:rPr>
        <w:t>;</w:t>
      </w:r>
    </w:p>
    <w:p w:rsidR="0046370E" w:rsidRPr="00250D00" w:rsidRDefault="0046370E" w:rsidP="0046370E">
      <w:pPr>
        <w:numPr>
          <w:ilvl w:val="1"/>
          <w:numId w:val="33"/>
        </w:numPr>
        <w:suppressAutoHyphens/>
        <w:jc w:val="both"/>
        <w:rPr>
          <w:i/>
        </w:rPr>
      </w:pPr>
      <w:r w:rsidRPr="00947907">
        <w:rPr>
          <w:i/>
        </w:rPr>
        <w:t>Оснащение печи П-1 дистанционной или автоматической подачей инертного газа в змеевики при прогаре труб (ФНиП п.4.5.8.1)</w:t>
      </w:r>
      <w:r>
        <w:rPr>
          <w:i/>
        </w:rPr>
        <w:t xml:space="preserve"> по проекту 18752;</w:t>
      </w:r>
    </w:p>
    <w:p w:rsidR="0046370E" w:rsidRPr="002B624E" w:rsidRDefault="0046370E" w:rsidP="0046370E">
      <w:pPr>
        <w:numPr>
          <w:ilvl w:val="0"/>
          <w:numId w:val="33"/>
        </w:numPr>
        <w:suppressAutoHyphens/>
        <w:jc w:val="both"/>
      </w:pPr>
      <w:r>
        <w:t>«</w:t>
      </w:r>
      <w:r w:rsidRPr="002B624E">
        <w:t>Оборудование не входящее в смету строек</w:t>
      </w:r>
      <w:r>
        <w:t>»</w:t>
      </w:r>
      <w:r w:rsidRPr="002B624E">
        <w:t>:</w:t>
      </w:r>
    </w:p>
    <w:p w:rsidR="0046370E" w:rsidRDefault="0046370E" w:rsidP="0046370E">
      <w:pPr>
        <w:numPr>
          <w:ilvl w:val="1"/>
          <w:numId w:val="33"/>
        </w:numPr>
        <w:suppressAutoHyphens/>
        <w:jc w:val="both"/>
        <w:rPr>
          <w:i/>
        </w:rPr>
      </w:pPr>
      <w:r w:rsidRPr="00947907">
        <w:rPr>
          <w:i/>
        </w:rPr>
        <w:t>Замена  холодильника Х-18</w:t>
      </w:r>
      <w:r>
        <w:rPr>
          <w:i/>
        </w:rPr>
        <w:t xml:space="preserve"> по проекту 18745;</w:t>
      </w:r>
    </w:p>
    <w:p w:rsidR="001018D4" w:rsidRPr="001B2FEA" w:rsidRDefault="0046370E" w:rsidP="0046370E">
      <w:pPr>
        <w:ind w:firstLine="360"/>
      </w:pPr>
      <w:r>
        <w:rPr>
          <w:i/>
        </w:rPr>
        <w:t>2.2.</w:t>
      </w:r>
      <w:r w:rsidRPr="00947907">
        <w:rPr>
          <w:i/>
        </w:rPr>
        <w:t>Замена холодильника  Х-19</w:t>
      </w:r>
      <w:r>
        <w:rPr>
          <w:i/>
        </w:rPr>
        <w:t xml:space="preserve"> по проекту 18746.</w:t>
      </w:r>
    </w:p>
    <w:p w:rsidR="001018D4" w:rsidRPr="00686EF3" w:rsidRDefault="001018D4" w:rsidP="00EC5F8B">
      <w:pPr>
        <w:suppressAutoHyphens/>
        <w:spacing w:before="120"/>
        <w:ind w:firstLine="540"/>
        <w:jc w:val="both"/>
      </w:pPr>
      <w:r w:rsidRPr="00686EF3">
        <w:t xml:space="preserve">Объёмы, виды и сроки выполнения </w:t>
      </w:r>
      <w:r w:rsidRPr="008337A9">
        <w:t>комплекса работ</w:t>
      </w:r>
      <w:r>
        <w:t xml:space="preserve"> по Каталитическому производству</w:t>
      </w:r>
      <w:r w:rsidRPr="008337A9">
        <w:t xml:space="preserve">, не вошедших в объёмы закупки и проводимых в рамках программ «Приведение опасного производственного объекта </w:t>
      </w:r>
      <w:r>
        <w:t>каталитического производства</w:t>
      </w:r>
      <w:r w:rsidRPr="008337A9">
        <w:t xml:space="preserve"> к требованиям правил», «Приведение объектов завода к требованиям правил электробезопасности», «Оборудование, не входящее сметы строек», «Повышение энергоэффективности производства и сокращение расхода технологического топлива»,</w:t>
      </w:r>
      <w:r w:rsidRPr="00E50BDA">
        <w:t xml:space="preserve"> </w:t>
      </w:r>
      <w:r>
        <w:t xml:space="preserve">«Повышение эффективности технологических процессов», </w:t>
      </w:r>
      <w:r w:rsidRPr="00DD438A">
        <w:t>«Модернизация систем управления установок и компрессоров», не вошедших в объёмы закупки</w:t>
      </w:r>
      <w:r w:rsidRPr="00686EF3">
        <w:t xml:space="preserve">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w:t>
      </w:r>
      <w:r>
        <w:t>Договору</w:t>
      </w:r>
      <w:r w:rsidRPr="00686EF3">
        <w:t xml:space="preserve"> генподряда.</w:t>
      </w:r>
    </w:p>
    <w:p w:rsidR="001018D4" w:rsidRPr="00686EF3" w:rsidRDefault="001018D4" w:rsidP="001018D4">
      <w:pPr>
        <w:suppressAutoHyphens/>
        <w:ind w:firstLine="540"/>
        <w:jc w:val="both"/>
      </w:pPr>
      <w:r w:rsidRPr="00686EF3">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№4,5 к проекту договор</w:t>
      </w:r>
      <w:r>
        <w:t>а</w:t>
      </w:r>
      <w:r w:rsidRPr="00686EF3">
        <w:t xml:space="preserve">) до их полного завершения. </w:t>
      </w:r>
    </w:p>
    <w:p w:rsidR="001018D4" w:rsidRPr="009D5CB7" w:rsidRDefault="001018D4" w:rsidP="001018D4">
      <w:pPr>
        <w:suppressAutoHyphens/>
        <w:ind w:firstLine="540"/>
        <w:jc w:val="both"/>
      </w:pPr>
      <w:r w:rsidRPr="00686EF3">
        <w:t xml:space="preserve">Стоимость и сроки выполнения пусконаладочных работ, не вошедших в объемы закупки, в случае их </w:t>
      </w:r>
      <w:r w:rsidRPr="009D5CB7">
        <w:t>необходимости, могут быть оговорены в дополнительных соглашениях к Договору генподряда.</w:t>
      </w:r>
    </w:p>
    <w:p w:rsidR="001018D4" w:rsidRPr="009D5CB7" w:rsidRDefault="001018D4" w:rsidP="001018D4">
      <w:pPr>
        <w:suppressAutoHyphens/>
        <w:ind w:firstLine="540"/>
        <w:jc w:val="both"/>
        <w:rPr>
          <w:b/>
        </w:rPr>
      </w:pPr>
      <w:r w:rsidRPr="009D5CB7">
        <w:rPr>
          <w:b/>
        </w:rPr>
        <w:t>Выбор Генподрядчиков на проведение вышеуказанных комплексов работ будет осуществляться в два этапа (по каждому из лотов):</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r w:rsidR="00F962D9">
        <w:rPr>
          <w:b/>
        </w:rPr>
        <w:t xml:space="preserve"> и оценки соответствия применяемых кранов и их характеристик по схеме (стройгенплану) массе поднимаемых и перемещаемых грузов по Лоту 1</w:t>
      </w:r>
      <w:r w:rsidRPr="009D5CB7">
        <w:rPr>
          <w:b/>
        </w:rPr>
        <w:t>.</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1018D4" w:rsidRPr="009D5CB7" w:rsidRDefault="001018D4" w:rsidP="001018D4">
      <w:pPr>
        <w:suppressAutoHyphens/>
        <w:ind w:firstLine="284"/>
        <w:jc w:val="both"/>
      </w:pPr>
      <w:r w:rsidRPr="009D5CB7">
        <w:t>- твердая договорная цена работ по вышеперечисленным разделам прилагаемой проектно-технической документации;</w:t>
      </w:r>
    </w:p>
    <w:p w:rsidR="001018D4" w:rsidRPr="003A7971" w:rsidRDefault="001018D4" w:rsidP="001018D4">
      <w:pPr>
        <w:suppressAutoHyphens/>
        <w:ind w:firstLine="284"/>
        <w:jc w:val="both"/>
      </w:pPr>
      <w:r w:rsidRPr="009D5CB7">
        <w:t>- регламенты определения стоимости строительно-монтажных и пусконаладочных работ на последующие работы (по форме приложений №</w:t>
      </w:r>
      <w:r w:rsidR="004773C4">
        <w:t>3,4</w:t>
      </w:r>
      <w:r w:rsidRPr="009D5CB7">
        <w:t xml:space="preserve"> к проекту договора)</w:t>
      </w:r>
      <w:r w:rsidRPr="00686EF3">
        <w:t xml:space="preserve"> до их полного завершения. Оценка регламентов будет производиться в </w:t>
      </w:r>
      <w:r w:rsidRPr="003A7971">
        <w:t>соответствии с «Методикой оценки регламентов определения стоимости СМР и ПНР» (по форме приложения № 9.1 к настоящему ПДО);</w:t>
      </w:r>
    </w:p>
    <w:p w:rsidR="001018D4" w:rsidRPr="003A7971" w:rsidRDefault="001018D4" w:rsidP="001018D4">
      <w:pPr>
        <w:suppressAutoHyphens/>
        <w:ind w:firstLine="284"/>
        <w:jc w:val="both"/>
      </w:pPr>
      <w:r w:rsidRPr="003A7971">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018D4" w:rsidRDefault="001018D4" w:rsidP="001018D4">
      <w:pPr>
        <w:suppressAutoHyphens/>
        <w:ind w:firstLine="284"/>
        <w:jc w:val="both"/>
      </w:pPr>
      <w:r w:rsidRPr="003A7971">
        <w:t>- соответствие предложения контрагента</w:t>
      </w:r>
      <w:r w:rsidRPr="00686EF3">
        <w:t xml:space="preserve"> требованиям Заказчика, изложенным в настоящем ПДО, в том числе, но, не ограничиваясь: с условиями и текстом договора, сроками выполнения работ. </w:t>
      </w:r>
      <w:r w:rsidRPr="00686EF3">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86EF3">
        <w:t>.</w:t>
      </w: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018D4">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0F00A6" w:rsidRPr="009D5CB7" w:rsidRDefault="000F00A6" w:rsidP="000F00A6">
      <w:pPr>
        <w:jc w:val="both"/>
        <w:rPr>
          <w:bCs/>
        </w:rPr>
      </w:pPr>
      <w:r w:rsidRPr="00686EF3">
        <w:rPr>
          <w:b/>
          <w:u w:val="single"/>
        </w:rPr>
        <w:t xml:space="preserve">В объем закупки </w:t>
      </w:r>
      <w:r>
        <w:rPr>
          <w:b/>
          <w:u w:val="single"/>
        </w:rPr>
        <w:t xml:space="preserve">по лотам № 1, 2 </w:t>
      </w:r>
      <w:r w:rsidRPr="00686EF3">
        <w:rPr>
          <w:b/>
          <w:u w:val="single"/>
        </w:rPr>
        <w:t>не включены</w:t>
      </w:r>
      <w:r w:rsidR="001018D4" w:rsidRPr="00686EF3">
        <w:rPr>
          <w:b/>
        </w:rPr>
        <w:t>:</w:t>
      </w:r>
      <w:r w:rsidR="001018D4" w:rsidRPr="00686EF3">
        <w:t xml:space="preserve"> </w:t>
      </w:r>
      <w:r w:rsidRPr="00686EF3">
        <w:t xml:space="preserve">пусконаладочные работы, вновь </w:t>
      </w:r>
      <w:r w:rsidRPr="009D5CB7">
        <w:t>выпускаемые изменения и дополнения по вышеуказанной проектно-технической документации</w:t>
      </w:r>
      <w:r w:rsidRPr="009D5CB7">
        <w:rPr>
          <w:i/>
        </w:rPr>
        <w:t>,</w:t>
      </w:r>
      <w:r w:rsidRPr="009D5CB7">
        <w:t xml:space="preserve"> а также вновь выпускаемая проектно-техническая документация в рамках вышеуказанных программ</w:t>
      </w:r>
      <w:r>
        <w:t xml:space="preserve"> и объектов</w:t>
      </w:r>
      <w:r w:rsidRPr="009D5CB7">
        <w:t>.</w:t>
      </w:r>
    </w:p>
    <w:p w:rsidR="001018D4" w:rsidRPr="009D5CB7" w:rsidRDefault="000F00A6" w:rsidP="000F00A6">
      <w:pPr>
        <w:jc w:val="both"/>
        <w:rPr>
          <w:i/>
        </w:rPr>
      </w:pPr>
      <w:r w:rsidRPr="009D5CB7">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1018D4" w:rsidRPr="009D5CB7" w:rsidRDefault="001018D4" w:rsidP="001018D4">
      <w:pPr>
        <w:suppressAutoHyphens/>
        <w:jc w:val="both"/>
        <w:rPr>
          <w:i/>
        </w:rPr>
      </w:pPr>
    </w:p>
    <w:p w:rsidR="001018D4" w:rsidRPr="009D5CB7" w:rsidRDefault="001018D4" w:rsidP="001018D4">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1018D4" w:rsidRPr="009D5CB7" w:rsidRDefault="001018D4" w:rsidP="001018D4">
      <w:pPr>
        <w:suppressAutoHyphens/>
        <w:autoSpaceDE w:val="0"/>
        <w:spacing w:before="120"/>
        <w:jc w:val="both"/>
      </w:pPr>
      <w:r w:rsidRPr="009D5CB7">
        <w:rPr>
          <w:u w:val="single"/>
        </w:rPr>
        <w:t>Заказчик:</w:t>
      </w:r>
      <w:r w:rsidRPr="009D5CB7">
        <w:t xml:space="preserve"> Открытое </w:t>
      </w:r>
      <w:r w:rsidR="00B10BAA">
        <w:t>а</w:t>
      </w:r>
      <w:r w:rsidRPr="009D5CB7">
        <w:t xml:space="preserve">кционерное </w:t>
      </w:r>
      <w:r w:rsidR="00B10BAA">
        <w:t>о</w:t>
      </w:r>
      <w:r w:rsidRPr="009D5CB7">
        <w:t>бщество «Славнефть – Ярославнефтеоргсинтез» (ОАО «Славнефть – ЯНОС»).</w:t>
      </w:r>
    </w:p>
    <w:p w:rsidR="001018D4" w:rsidRPr="009D5CB7" w:rsidRDefault="001018D4" w:rsidP="001018D4">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в соответствии с Графиком производства работ и освоения средств (Приложение №2 к договору)</w:t>
      </w:r>
      <w:r w:rsidRPr="009D5CB7">
        <w:rPr>
          <w:u w:val="single"/>
        </w:rPr>
        <w:t>:</w:t>
      </w:r>
    </w:p>
    <w:p w:rsidR="000F00A6" w:rsidRPr="009D5CB7" w:rsidRDefault="000F00A6" w:rsidP="000F00A6">
      <w:pPr>
        <w:numPr>
          <w:ilvl w:val="0"/>
          <w:numId w:val="34"/>
        </w:numPr>
        <w:jc w:val="both"/>
        <w:rPr>
          <w:bCs/>
        </w:rPr>
      </w:pPr>
      <w:r w:rsidRPr="00426155">
        <w:rPr>
          <w:b/>
        </w:rPr>
        <w:t>Лот №1 «Комплекс работ по техническому перевооружению</w:t>
      </w:r>
      <w:r>
        <w:rPr>
          <w:b/>
        </w:rPr>
        <w:t xml:space="preserve"> установки 1А-1М»</w:t>
      </w:r>
      <w:r w:rsidRPr="009D5CB7">
        <w:rPr>
          <w:b/>
          <w:bCs/>
        </w:rPr>
        <w:t>:</w:t>
      </w:r>
      <w:r w:rsidRPr="009D5CB7">
        <w:rPr>
          <w:bCs/>
        </w:rPr>
        <w:t xml:space="preserve"> </w:t>
      </w:r>
    </w:p>
    <w:p w:rsidR="000F00A6" w:rsidRPr="000F00A6" w:rsidRDefault="000F00A6" w:rsidP="000F00A6">
      <w:pPr>
        <w:ind w:firstLine="360"/>
        <w:jc w:val="both"/>
        <w:rPr>
          <w:bCs/>
        </w:rPr>
      </w:pPr>
      <w:r w:rsidRPr="000F00A6">
        <w:rPr>
          <w:bCs/>
        </w:rPr>
        <w:t>Начало работ – 8 марта  2017г., окончание работ – 2 апреля 2017 г.</w:t>
      </w:r>
    </w:p>
    <w:p w:rsidR="000F00A6" w:rsidRPr="000F00A6" w:rsidRDefault="000F00A6" w:rsidP="000F00A6">
      <w:pPr>
        <w:ind w:firstLine="360"/>
        <w:jc w:val="both"/>
        <w:rPr>
          <w:bCs/>
        </w:rPr>
      </w:pPr>
      <w:r w:rsidRPr="000F00A6">
        <w:rPr>
          <w:bCs/>
        </w:rPr>
        <w:t>Сроки начала работ по решению Заказчика могут быть изменены, но общая продолжительность работ в период простоя технологического объекта 1А-1М на капитальном ремонте при этом останется неизменной и составит 26 календарных дней.</w:t>
      </w:r>
    </w:p>
    <w:p w:rsidR="000F00A6" w:rsidRPr="000F00A6" w:rsidRDefault="000F00A6" w:rsidP="000F00A6">
      <w:pPr>
        <w:ind w:firstLine="360"/>
        <w:jc w:val="both"/>
        <w:rPr>
          <w:bCs/>
        </w:rPr>
      </w:pPr>
      <w:r w:rsidRPr="000F00A6">
        <w:rPr>
          <w:bCs/>
        </w:rPr>
        <w:t>По предварительному согласованию с Заказчиком допускается выполнение части работ в предостановочный период, ранее 8 марта 2017 г.</w:t>
      </w:r>
    </w:p>
    <w:p w:rsidR="000F00A6" w:rsidRPr="000F00A6" w:rsidRDefault="000F00A6" w:rsidP="000F00A6">
      <w:pPr>
        <w:ind w:firstLine="360"/>
        <w:jc w:val="both"/>
        <w:rPr>
          <w:bCs/>
        </w:rPr>
      </w:pPr>
      <w:r w:rsidRPr="000F00A6">
        <w:rPr>
          <w:bCs/>
        </w:rPr>
        <w:t>По предварительному согласованию с Заказчиком возможно окончание работ по антикоррозионной защите и теплоизоляции - до 05 июня 2017 г.</w:t>
      </w:r>
    </w:p>
    <w:p w:rsidR="000F00A6" w:rsidRPr="000F00A6" w:rsidRDefault="000F00A6" w:rsidP="000F00A6">
      <w:pPr>
        <w:ind w:left="1114"/>
        <w:jc w:val="both"/>
        <w:rPr>
          <w:bCs/>
        </w:rPr>
      </w:pPr>
    </w:p>
    <w:p w:rsidR="000F00A6" w:rsidRPr="00A176B0" w:rsidRDefault="000F00A6" w:rsidP="000F00A6">
      <w:pPr>
        <w:ind w:left="709"/>
        <w:jc w:val="both"/>
        <w:rPr>
          <w:bCs/>
          <w:i/>
          <w:color w:val="FF0000"/>
        </w:rPr>
      </w:pPr>
      <w:r w:rsidRPr="000F00A6">
        <w:rPr>
          <w:bCs/>
          <w:i/>
        </w:rPr>
        <w:t>Срок окончания всего комплекса работ по лоту №1: по техническому перевооружению установки 1А-1М -   до 31 декабря 2017 г.</w:t>
      </w:r>
    </w:p>
    <w:p w:rsidR="000F00A6" w:rsidRDefault="000F00A6" w:rsidP="00EC5F8B">
      <w:pPr>
        <w:spacing w:before="120"/>
        <w:ind w:left="426"/>
        <w:jc w:val="both"/>
        <w:rPr>
          <w:b/>
        </w:rPr>
      </w:pPr>
      <w:r>
        <w:rPr>
          <w:b/>
        </w:rPr>
        <w:t xml:space="preserve"> 2.   </w:t>
      </w:r>
      <w:r w:rsidRPr="006718E5">
        <w:rPr>
          <w:b/>
        </w:rPr>
        <w:t>Лот №2 «Комплекс работ по техническому перевооружению установ</w:t>
      </w:r>
      <w:r>
        <w:rPr>
          <w:b/>
        </w:rPr>
        <w:t>ки ЛГ-35/11, Л-35/6</w:t>
      </w:r>
      <w:r w:rsidRPr="006718E5">
        <w:rPr>
          <w:b/>
        </w:rPr>
        <w:t>»</w:t>
      </w:r>
      <w:r>
        <w:rPr>
          <w:b/>
        </w:rPr>
        <w:t>:</w:t>
      </w:r>
    </w:p>
    <w:p w:rsidR="000F00A6" w:rsidRPr="000F00A6" w:rsidRDefault="000F00A6" w:rsidP="00EC5F8B">
      <w:pPr>
        <w:ind w:left="709"/>
        <w:jc w:val="both"/>
        <w:rPr>
          <w:bCs/>
        </w:rPr>
      </w:pPr>
      <w:r w:rsidRPr="0073040B">
        <w:rPr>
          <w:color w:val="FF0000"/>
        </w:rPr>
        <w:t xml:space="preserve"> </w:t>
      </w:r>
      <w:r>
        <w:rPr>
          <w:color w:val="FF0000"/>
        </w:rPr>
        <w:t xml:space="preserve">  </w:t>
      </w:r>
      <w:r w:rsidRPr="000F00A6">
        <w:rPr>
          <w:bCs/>
        </w:rPr>
        <w:t>Начало работ – 01 апреля  2017г., окончание работ – 9 апреля 2017 г.</w:t>
      </w:r>
    </w:p>
    <w:p w:rsidR="000F00A6" w:rsidRPr="000F00A6" w:rsidRDefault="000F00A6" w:rsidP="000F00A6">
      <w:pPr>
        <w:ind w:firstLine="426"/>
        <w:jc w:val="both"/>
        <w:rPr>
          <w:bCs/>
        </w:rPr>
      </w:pPr>
      <w:r w:rsidRPr="000F00A6">
        <w:rPr>
          <w:bCs/>
        </w:rPr>
        <w:t>Сроки начала работ по решению Заказчика могут быть изменены, но общая продолжительность работ в период простоя технологического объекта ЛГ-35/11 на капитальном ремонте при этом останется неизменной и составит 9 календарных дней.</w:t>
      </w:r>
    </w:p>
    <w:p w:rsidR="000F00A6" w:rsidRPr="000F00A6" w:rsidRDefault="000F00A6" w:rsidP="000F00A6">
      <w:pPr>
        <w:ind w:firstLine="426"/>
        <w:jc w:val="both"/>
        <w:rPr>
          <w:bCs/>
        </w:rPr>
      </w:pPr>
      <w:r w:rsidRPr="000F00A6">
        <w:rPr>
          <w:bCs/>
        </w:rPr>
        <w:t>По предварительному согласованию с Заказчиком допускается выполнение части работ в предостановочный период, ранее 01 апреля 2017 г.</w:t>
      </w:r>
    </w:p>
    <w:p w:rsidR="000F00A6" w:rsidRPr="000F00A6" w:rsidRDefault="000F00A6" w:rsidP="000F00A6">
      <w:pPr>
        <w:ind w:firstLine="426"/>
        <w:jc w:val="both"/>
        <w:rPr>
          <w:bCs/>
        </w:rPr>
      </w:pPr>
      <w:r w:rsidRPr="000F00A6">
        <w:rPr>
          <w:bCs/>
        </w:rPr>
        <w:t>По предварительному согласованию с Заказчиком возможно окончание работ по антикоррозионной защите и теплоизоляции - до 05 июня 2017 г.</w:t>
      </w:r>
    </w:p>
    <w:p w:rsidR="001018D4" w:rsidRPr="00DE0A73" w:rsidRDefault="000F00A6" w:rsidP="00EC5F8B">
      <w:pPr>
        <w:spacing w:before="120" w:after="120"/>
        <w:jc w:val="both"/>
        <w:rPr>
          <w:bCs/>
          <w:i/>
        </w:rPr>
      </w:pPr>
      <w:r w:rsidRPr="000F00A6">
        <w:rPr>
          <w:bCs/>
          <w:i/>
        </w:rPr>
        <w:t>Срок окончания всего комплекса работ по лоту №2: по техническому перевооружению установки ЛГ-35/11 -   до 31 декабря 2017 г.</w:t>
      </w:r>
    </w:p>
    <w:p w:rsidR="001018D4" w:rsidRPr="00686EF3" w:rsidRDefault="001018D4" w:rsidP="001018D4">
      <w:pPr>
        <w:pStyle w:val="320"/>
        <w:ind w:firstLine="11"/>
        <w:rPr>
          <w:u w:val="single"/>
        </w:rPr>
      </w:pPr>
      <w:r w:rsidRPr="00686EF3">
        <w:rPr>
          <w:u w:val="single"/>
        </w:rPr>
        <w:t>Условия оплаты работ: (согласно статье 10 проекта Договора генподряда)</w:t>
      </w:r>
    </w:p>
    <w:p w:rsidR="00A65859" w:rsidRPr="00686EF3" w:rsidRDefault="00A65859" w:rsidP="00A65859">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A65859" w:rsidRPr="00FF39C8" w:rsidRDefault="00A65859" w:rsidP="00A65859">
      <w:pPr>
        <w:suppressAutoHyphens/>
        <w:ind w:firstLine="709"/>
        <w:jc w:val="both"/>
      </w:pPr>
      <w:r w:rsidRPr="007A5C2F">
        <w:t xml:space="preserve">Необходимость в предоставлении авансовых платежей </w:t>
      </w:r>
      <w:r w:rsidRPr="007C38F4">
        <w:t xml:space="preserve">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w:t>
      </w:r>
      <w:r w:rsidRPr="00BF6BB1">
        <w:t>6</w:t>
      </w:r>
      <w:r w:rsidRPr="00947907">
        <w:t xml:space="preserve"> к Договору).  Авансовые платежи могут быть перечислены контрагенту в течение 15 календарных дней с даты предоставления следующих</w:t>
      </w:r>
      <w:r w:rsidRPr="00FF39C8">
        <w:t xml:space="preserve"> документов:</w:t>
      </w:r>
    </w:p>
    <w:p w:rsidR="00A65859" w:rsidRPr="00FF39C8" w:rsidRDefault="00A65859" w:rsidP="00A65859">
      <w:pPr>
        <w:suppressAutoHyphens/>
        <w:jc w:val="both"/>
      </w:pPr>
      <w:r w:rsidRPr="00FF39C8">
        <w:t>– выставленного Генподрядчиком счета;</w:t>
      </w:r>
    </w:p>
    <w:p w:rsidR="00A65859" w:rsidRPr="00FF39C8" w:rsidRDefault="00A65859" w:rsidP="00A65859">
      <w:pPr>
        <w:suppressAutoHyphens/>
        <w:jc w:val="both"/>
      </w:pPr>
      <w:r w:rsidRPr="00FF39C8">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A65859" w:rsidRPr="00FF39C8" w:rsidRDefault="00A65859" w:rsidP="00A65859">
      <w:pPr>
        <w:suppressAutoHyphens/>
        <w:ind w:firstLine="709"/>
        <w:jc w:val="both"/>
      </w:pPr>
      <w:r w:rsidRPr="00FF39C8">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1018D4" w:rsidRPr="00240DEC" w:rsidRDefault="00A65859" w:rsidP="00A65859">
      <w:pPr>
        <w:suppressAutoHyphens/>
        <w:ind w:firstLine="709"/>
        <w:jc w:val="both"/>
        <w:rPr>
          <w:i/>
        </w:rPr>
      </w:pPr>
      <w:r w:rsidRPr="00FF39C8">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1018D4" w:rsidRPr="00686EF3" w:rsidRDefault="001018D4" w:rsidP="001018D4">
      <w:pPr>
        <w:suppressAutoHyphens/>
        <w:jc w:val="both"/>
        <w:rPr>
          <w:u w:val="single"/>
        </w:rPr>
      </w:pPr>
    </w:p>
    <w:p w:rsidR="001018D4" w:rsidRDefault="001018D4" w:rsidP="001018D4">
      <w:pPr>
        <w:suppressAutoHyphens/>
        <w:jc w:val="both"/>
      </w:pPr>
      <w:r w:rsidRPr="00686EF3">
        <w:rPr>
          <w:u w:val="single"/>
        </w:rPr>
        <w:t>Выдаваемая проектно-техническая документация:</w:t>
      </w:r>
    </w:p>
    <w:p w:rsidR="00A65859" w:rsidRPr="009D5CB7" w:rsidRDefault="00A65859" w:rsidP="00A65859">
      <w:pPr>
        <w:jc w:val="both"/>
        <w:outlineLvl w:val="0"/>
        <w:rPr>
          <w:b/>
        </w:rPr>
      </w:pPr>
      <w:r w:rsidRPr="00426155">
        <w:rPr>
          <w:b/>
        </w:rPr>
        <w:t>Лот №1 «Комплекс работ по техническому перевооружению</w:t>
      </w:r>
      <w:r>
        <w:rPr>
          <w:b/>
        </w:rPr>
        <w:t xml:space="preserve"> установки 1А-1М»</w:t>
      </w:r>
      <w:r w:rsidRPr="009D5CB7">
        <w:rPr>
          <w:b/>
        </w:rPr>
        <w:t xml:space="preserve">: </w:t>
      </w:r>
    </w:p>
    <w:p w:rsidR="00A65859" w:rsidRPr="009D5CB7" w:rsidRDefault="00A65859" w:rsidP="00A65859">
      <w:pPr>
        <w:jc w:val="both"/>
        <w:outlineLvl w:val="0"/>
      </w:pPr>
      <w:r w:rsidRPr="009D5CB7">
        <w:t xml:space="preserve">Проекты № </w:t>
      </w:r>
      <w:r>
        <w:t xml:space="preserve">18868, 18854 </w:t>
      </w:r>
      <w:r w:rsidRPr="009D5CB7">
        <w:t>– разработаны ООО «Промхимпроект».</w:t>
      </w:r>
      <w:r>
        <w:t xml:space="preserve"> Ведомости объемов работ – разработаны Заказчиком.</w:t>
      </w:r>
    </w:p>
    <w:p w:rsidR="00A65859" w:rsidRPr="009D5CB7" w:rsidRDefault="00A65859" w:rsidP="00A65859">
      <w:pPr>
        <w:suppressAutoHyphens/>
        <w:jc w:val="both"/>
      </w:pPr>
    </w:p>
    <w:p w:rsidR="00A65859" w:rsidRPr="009D5CB7" w:rsidRDefault="00A65859" w:rsidP="00A65859">
      <w:pPr>
        <w:suppressAutoHyphens/>
        <w:jc w:val="both"/>
        <w:rPr>
          <w:b/>
        </w:rPr>
      </w:pPr>
      <w:r w:rsidRPr="006718E5">
        <w:rPr>
          <w:b/>
        </w:rPr>
        <w:t>Лот №2 «Комплекс работ по техническому перевооружению установ</w:t>
      </w:r>
      <w:r>
        <w:rPr>
          <w:b/>
        </w:rPr>
        <w:t>ки ЛГ-35/11, Л-35/6</w:t>
      </w:r>
      <w:r w:rsidRPr="006718E5">
        <w:rPr>
          <w:b/>
        </w:rPr>
        <w:t>»</w:t>
      </w:r>
      <w:r w:rsidRPr="009D5CB7">
        <w:rPr>
          <w:b/>
        </w:rPr>
        <w:t xml:space="preserve">: </w:t>
      </w:r>
    </w:p>
    <w:p w:rsidR="001018D4" w:rsidRPr="009D5CB7" w:rsidRDefault="00A65859" w:rsidP="00A65859">
      <w:pPr>
        <w:suppressAutoHyphens/>
        <w:jc w:val="both"/>
      </w:pPr>
      <w:r w:rsidRPr="006718E5">
        <w:t xml:space="preserve">Проекты № </w:t>
      </w:r>
      <w:r w:rsidR="00E92CFA">
        <w:t xml:space="preserve">18748, 18751,18749, 18745, 18752,18746 </w:t>
      </w:r>
      <w:r w:rsidRPr="006718E5">
        <w:t>– разработаны ООО «Промхимпроект».</w:t>
      </w:r>
      <w:r w:rsidR="001018D4" w:rsidRPr="009D5CB7">
        <w:t xml:space="preserve">        </w:t>
      </w:r>
    </w:p>
    <w:p w:rsidR="00770EE8" w:rsidRPr="00770EE8" w:rsidRDefault="001018D4" w:rsidP="00770EE8">
      <w:pPr>
        <w:spacing w:before="120"/>
        <w:jc w:val="both"/>
        <w:rPr>
          <w:highlight w:val="yellow"/>
        </w:rPr>
      </w:pPr>
      <w:r w:rsidRPr="00770EE8">
        <w:rPr>
          <w:highlight w:val="yellow"/>
        </w:rPr>
        <w:t xml:space="preserve">Данная документация </w:t>
      </w:r>
      <w:r w:rsidR="00770EE8" w:rsidRPr="00770EE8">
        <w:rPr>
          <w:highlight w:val="yellow"/>
        </w:rPr>
        <w:t xml:space="preserve">размещена по ссылке: </w:t>
      </w:r>
    </w:p>
    <w:p w:rsidR="001018D4" w:rsidRPr="00770EE8" w:rsidRDefault="00770EE8" w:rsidP="00770EE8">
      <w:pPr>
        <w:jc w:val="both"/>
        <w:rPr>
          <w:color w:val="000000"/>
          <w:shd w:val="clear" w:color="auto" w:fill="D9D9D9"/>
        </w:rPr>
      </w:pPr>
      <w:hyperlink r:id="rId9" w:history="1">
        <w:r w:rsidRPr="00770EE8">
          <w:rPr>
            <w:rStyle w:val="afd"/>
            <w:highlight w:val="yellow"/>
            <w:shd w:val="clear" w:color="auto" w:fill="D9D9D9"/>
          </w:rPr>
          <w:t>http://yanos.slavneft.ru/files/proektyi_vor_636090078875035243.zip</w:t>
        </w:r>
      </w:hyperlink>
    </w:p>
    <w:p w:rsidR="00770EE8" w:rsidRPr="009D5CB7" w:rsidRDefault="00770EE8" w:rsidP="001018D4">
      <w:pPr>
        <w:ind w:firstLine="709"/>
        <w:jc w:val="both"/>
      </w:pPr>
    </w:p>
    <w:p w:rsidR="000F06F2" w:rsidRDefault="000F06F2" w:rsidP="000F06F2">
      <w:pPr>
        <w:ind w:firstLine="709"/>
        <w:jc w:val="both"/>
      </w:pPr>
    </w:p>
    <w:p w:rsidR="008F44E8" w:rsidRDefault="00EC5F8B" w:rsidP="00964CEB">
      <w:pPr>
        <w:jc w:val="both"/>
        <w:rPr>
          <w:b/>
        </w:rPr>
      </w:pPr>
      <w:r>
        <w:rPr>
          <w:b/>
        </w:rPr>
        <w:br w:type="page"/>
      </w:r>
      <w:r w:rsidR="00964CEB">
        <w:rPr>
          <w:b/>
        </w:rPr>
        <w:t xml:space="preserve">2. </w:t>
      </w:r>
      <w:r w:rsidR="00964CEB" w:rsidRPr="00FF2645">
        <w:rPr>
          <w:b/>
        </w:rPr>
        <w:t xml:space="preserve">Требования к </w:t>
      </w:r>
      <w:r w:rsidR="00964CEB">
        <w:rPr>
          <w:b/>
        </w:rPr>
        <w:t>предмету закупки</w:t>
      </w:r>
    </w:p>
    <w:p w:rsidR="00A65859" w:rsidRPr="009D5CB7" w:rsidRDefault="00A65859" w:rsidP="00A65859">
      <w:pPr>
        <w:suppressAutoHyphens/>
        <w:autoSpaceDE w:val="0"/>
        <w:spacing w:before="120"/>
        <w:ind w:firstLine="709"/>
        <w:jc w:val="both"/>
      </w:pPr>
      <w:r w:rsidRPr="009D5CB7">
        <w:t xml:space="preserve">Весь комплекс работ должен выполняться </w:t>
      </w:r>
      <w:r w:rsidRPr="009D5CB7">
        <w:rPr>
          <w:spacing w:val="4"/>
        </w:rPr>
        <w:t>в соответствии с выдаваемой Заказчиком проектно-</w:t>
      </w:r>
      <w:r w:rsidRPr="009D5CB7">
        <w:t>технической документацией, должен быть надлежащего качества, отвечать требованиям соответствующих стандартов, норм и технических условий.</w:t>
      </w:r>
    </w:p>
    <w:p w:rsidR="00A65859" w:rsidRPr="009D5CB7" w:rsidRDefault="00A65859" w:rsidP="00A65859">
      <w:pPr>
        <w:suppressAutoHyphens/>
        <w:autoSpaceDE w:val="0"/>
        <w:spacing w:before="120"/>
        <w:ind w:firstLine="709"/>
        <w:jc w:val="both"/>
      </w:pPr>
      <w:r w:rsidRPr="009D5CB7">
        <w:t>Монтажные работы необходимо производить по Проекту производства работ, согласованному с Заказчиком до начала выполнения работ.</w:t>
      </w:r>
    </w:p>
    <w:p w:rsidR="00E82F7E" w:rsidRDefault="00A65859" w:rsidP="00A65859">
      <w:pPr>
        <w:suppressAutoHyphens/>
        <w:ind w:firstLine="567"/>
        <w:jc w:val="both"/>
      </w:pPr>
      <w:r w:rsidRPr="009D5CB7">
        <w:t>Гарантийный срок на выполненные работы, конструктивные элементы устанавливается с</w:t>
      </w:r>
      <w:r w:rsidRPr="00686EF3">
        <w:t xml:space="preserve">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86EF3">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86EF3">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65859" w:rsidRPr="00686EF3" w:rsidRDefault="00A65859" w:rsidP="00A65859">
      <w:pPr>
        <w:autoSpaceDE w:val="0"/>
        <w:spacing w:before="60"/>
        <w:ind w:firstLine="340"/>
        <w:jc w:val="both"/>
      </w:pPr>
      <w:r w:rsidRPr="00686EF3">
        <w:t>Все поставляемые для выполнения работ материалы (в случаях, предусмотренных законодательством) должны иметь:</w:t>
      </w:r>
    </w:p>
    <w:p w:rsidR="00A65859" w:rsidRPr="00686EF3" w:rsidRDefault="00A65859" w:rsidP="00A65859">
      <w:pPr>
        <w:numPr>
          <w:ilvl w:val="0"/>
          <w:numId w:val="4"/>
        </w:numPr>
        <w:ind w:left="680" w:hanging="340"/>
        <w:jc w:val="both"/>
      </w:pPr>
      <w:r w:rsidRPr="00686EF3">
        <w:t>Сертификаты качества, выданные производителем;</w:t>
      </w:r>
    </w:p>
    <w:p w:rsidR="00A65859" w:rsidRPr="00686EF3" w:rsidRDefault="00A65859" w:rsidP="00A65859">
      <w:pPr>
        <w:numPr>
          <w:ilvl w:val="0"/>
          <w:numId w:val="4"/>
        </w:numPr>
        <w:ind w:left="680" w:hanging="340"/>
        <w:jc w:val="both"/>
      </w:pPr>
      <w:r w:rsidRPr="00686EF3">
        <w:t>Сертификаты соответствия Госстандарта Российской Федерации;</w:t>
      </w:r>
    </w:p>
    <w:p w:rsidR="00A65859" w:rsidRPr="00686EF3" w:rsidRDefault="00A65859" w:rsidP="00A65859">
      <w:pPr>
        <w:numPr>
          <w:ilvl w:val="0"/>
          <w:numId w:val="4"/>
        </w:numPr>
        <w:ind w:left="680" w:hanging="340"/>
        <w:jc w:val="both"/>
      </w:pPr>
      <w:r w:rsidRPr="00686EF3">
        <w:t>Сертификаты страны происхождения;</w:t>
      </w:r>
    </w:p>
    <w:p w:rsidR="00A65859" w:rsidRPr="00686EF3" w:rsidRDefault="00A65859" w:rsidP="00A65859">
      <w:pPr>
        <w:numPr>
          <w:ilvl w:val="0"/>
          <w:numId w:val="4"/>
        </w:numPr>
        <w:ind w:left="680" w:hanging="340"/>
        <w:jc w:val="both"/>
      </w:pPr>
      <w:r w:rsidRPr="00686EF3">
        <w:t>Технические паспорта и другие документы, удостоверяющие их качество.</w:t>
      </w:r>
    </w:p>
    <w:p w:rsidR="00683C7F" w:rsidRPr="00683C7F" w:rsidRDefault="00A65859" w:rsidP="00683C7F">
      <w:pPr>
        <w:suppressAutoHyphens/>
        <w:autoSpaceDE w:val="0"/>
        <w:spacing w:before="120"/>
        <w:ind w:firstLine="709"/>
        <w:jc w:val="both"/>
        <w:rPr>
          <w:kern w:val="1"/>
          <w:lang w:eastAsia="ar-SA"/>
        </w:rPr>
      </w:pPr>
      <w:r w:rsidRPr="00686EF3">
        <w:t xml:space="preserve">Поставляемое Контрагентом оборудование должно, кроме того, иметь разрешения </w:t>
      </w:r>
      <w:r w:rsidRPr="00686EF3">
        <w:rPr>
          <w:szCs w:val="22"/>
        </w:rPr>
        <w:t xml:space="preserve">на применение оборудования, утверждённые </w:t>
      </w:r>
      <w:r w:rsidRPr="00686EF3">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86EF3">
        <w:rPr>
          <w:szCs w:val="22"/>
        </w:rPr>
        <w:t>оссийские сертификаты о взрывозащите электрооборудования, с</w:t>
      </w:r>
      <w:r w:rsidRPr="00686EF3">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r w:rsidRPr="00A15BC1">
        <w:t xml:space="preserve"> </w:t>
      </w:r>
      <w:r w:rsidR="00683C7F" w:rsidRPr="00683C7F">
        <w:t>На все вновь монтируемые трубопроводы, не подпадающие под действие требований ТР ТС032/2013, контрагент предоставляет заключение экспертизы промышленной безопасности на техническое устройство.</w:t>
      </w:r>
      <w:r w:rsidR="00683C7F">
        <w:t xml:space="preserve"> </w:t>
      </w:r>
      <w:r w:rsidR="00683C7F" w:rsidRPr="00683C7F">
        <w:rPr>
          <w:kern w:val="1"/>
          <w:lang w:eastAsia="ar-SA"/>
        </w:rPr>
        <w:t>На все вновь монтируемые трубопроводы, не подпадающие под действие требований ТР ТС032/2013, контрагент предоставляет заключение экспертизы промышленной безопасности на техническое устройство.</w:t>
      </w:r>
    </w:p>
    <w:p w:rsidR="00A65859" w:rsidRDefault="00A65859" w:rsidP="00A65859">
      <w:pPr>
        <w:suppressAutoHyphens/>
        <w:autoSpaceDE w:val="0"/>
        <w:spacing w:before="120"/>
        <w:ind w:firstLine="709"/>
        <w:jc w:val="both"/>
      </w:pPr>
      <w:r>
        <w:t>На все вновь монтируемые трубопроводы, не подпадающие под действие требований ТР ТС032/2013, контрагент</w:t>
      </w:r>
      <w:r w:rsidRPr="00A15BC1">
        <w:t xml:space="preserve"> </w:t>
      </w:r>
      <w:r>
        <w:t>предоставляет заключение экспертизы промышленной безопасности на техническое устройство.</w:t>
      </w:r>
    </w:p>
    <w:p w:rsidR="00A65859" w:rsidRPr="00686EF3" w:rsidRDefault="00A65859" w:rsidP="00A65859">
      <w:pPr>
        <w:ind w:firstLine="340"/>
        <w:jc w:val="both"/>
      </w:pPr>
    </w:p>
    <w:p w:rsidR="00A65859" w:rsidRPr="00686EF3" w:rsidRDefault="00A65859" w:rsidP="00A65859">
      <w:pPr>
        <w:ind w:firstLine="340"/>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A65859" w:rsidRPr="00686EF3" w:rsidRDefault="00A65859" w:rsidP="00A65859">
      <w:pPr>
        <w:ind w:firstLine="681"/>
        <w:jc w:val="both"/>
        <w:rPr>
          <w:i/>
        </w:rPr>
      </w:pPr>
      <w:r w:rsidRPr="00686EF3">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65859" w:rsidRPr="00686EF3" w:rsidRDefault="00A65859" w:rsidP="00A65859">
      <w:pPr>
        <w:autoSpaceDE w:val="0"/>
        <w:jc w:val="both"/>
      </w:pPr>
      <w:r w:rsidRPr="00686EF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65859" w:rsidRPr="00686EF3" w:rsidRDefault="00A65859" w:rsidP="00A65859">
      <w:pPr>
        <w:suppressAutoHyphens/>
        <w:autoSpaceDE w:val="0"/>
        <w:jc w:val="both"/>
      </w:pPr>
      <w:r w:rsidRPr="00686EF3">
        <w:rPr>
          <w:rFonts w:ascii="Arial" w:hAnsi="Arial" w:cs="Arial"/>
          <w:sz w:val="22"/>
          <w:szCs w:val="22"/>
        </w:rPr>
        <w:tab/>
      </w:r>
      <w:r w:rsidRPr="00686EF3">
        <w:t>Антикоррозийная защита металлоконструкций производится до момента их монтажа.</w:t>
      </w:r>
    </w:p>
    <w:p w:rsidR="00E82F7E" w:rsidRDefault="00A65859" w:rsidP="00A65859">
      <w:pPr>
        <w:suppressAutoHyphens/>
        <w:ind w:firstLine="567"/>
        <w:jc w:val="both"/>
      </w:pPr>
      <w:r w:rsidRPr="00686EF3">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82F7E" w:rsidRDefault="00E82F7E" w:rsidP="00E82F7E">
      <w:pPr>
        <w:suppressAutoHyphens/>
        <w:ind w:firstLine="567"/>
        <w:jc w:val="both"/>
      </w:pPr>
    </w:p>
    <w:p w:rsidR="00A65859" w:rsidRPr="00686EF3" w:rsidRDefault="00A65859" w:rsidP="00A65859">
      <w:pPr>
        <w:suppressAutoHyphens/>
        <w:ind w:firstLine="540"/>
        <w:jc w:val="both"/>
      </w:pPr>
      <w:r w:rsidRPr="00686EF3">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w:t>
      </w:r>
      <w:r>
        <w:t>Договору</w:t>
      </w:r>
      <w:r w:rsidRPr="00686EF3">
        <w:t xml:space="preserve"> генподряда по фактически выполненным объёмам работ.</w:t>
      </w:r>
    </w:p>
    <w:p w:rsidR="004773C4" w:rsidRDefault="004773C4" w:rsidP="004773C4">
      <w:pPr>
        <w:suppressAutoHyphens/>
        <w:ind w:firstLine="540"/>
        <w:jc w:val="both"/>
        <w:rPr>
          <w:b/>
        </w:rPr>
      </w:pPr>
      <w:r w:rsidRPr="00686EF3">
        <w:rPr>
          <w:b/>
        </w:rPr>
        <w:t>Стоимость работ Контрагента должна быть сформирована в соответствии с выданными Ведомостями объёмов работ</w:t>
      </w:r>
      <w:r>
        <w:rPr>
          <w:b/>
        </w:rPr>
        <w:t xml:space="preserve"> с учетом перебазировки и работы импортных машин и механизмов </w:t>
      </w:r>
      <w:r w:rsidRPr="00686EF3">
        <w:rPr>
          <w:b/>
        </w:rPr>
        <w:t>(согласно п.1.1 договора генподряда). Запрещается без уведомления Заказчика изменять в оферте объемы выполняемых работ.</w:t>
      </w:r>
      <w:r>
        <w:rPr>
          <w:b/>
        </w:rPr>
        <w:t xml:space="preserve"> </w:t>
      </w:r>
    </w:p>
    <w:p w:rsidR="004773C4" w:rsidRPr="00686EF3" w:rsidRDefault="004773C4" w:rsidP="004773C4">
      <w:pPr>
        <w:suppressAutoHyphens/>
        <w:ind w:firstLine="540"/>
        <w:jc w:val="both"/>
        <w:rPr>
          <w:b/>
        </w:rPr>
      </w:pPr>
      <w:r>
        <w:rPr>
          <w:b/>
        </w:rPr>
        <w:t xml:space="preserve">По применению импортных машин и механизмов Контрагент предоставляет Заказчику предварительно проработанную схему (стройгенплан) расположения кранов на строительной площадке с указанием их мест установки и технических характеристик.  </w:t>
      </w:r>
    </w:p>
    <w:p w:rsidR="000F06F2" w:rsidRPr="00843298" w:rsidRDefault="000F06F2" w:rsidP="000F06F2">
      <w:pPr>
        <w:suppressAutoHyphens/>
        <w:ind w:firstLine="567"/>
        <w:jc w:val="both"/>
      </w:pPr>
    </w:p>
    <w:p w:rsidR="00964CEB" w:rsidRPr="00E747FA" w:rsidRDefault="006D7F0F" w:rsidP="00E526D7">
      <w:pPr>
        <w:ind w:firstLine="709"/>
        <w:jc w:val="both"/>
        <w:rPr>
          <w:b/>
        </w:rPr>
      </w:pPr>
      <w:r>
        <w:rPr>
          <w:b/>
        </w:rPr>
        <w:t>Что оценивается:</w:t>
      </w:r>
    </w:p>
    <w:p w:rsidR="008F44E8" w:rsidRPr="006010BF" w:rsidRDefault="008F44E8" w:rsidP="008F44E8">
      <w:pPr>
        <w:autoSpaceDE w:val="0"/>
        <w:jc w:val="both"/>
      </w:pPr>
      <w:r w:rsidRPr="006010BF">
        <w:t>- твердая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004773C4">
        <w:t>3,4</w:t>
      </w:r>
      <w:r w:rsidRPr="008B39A0">
        <w:t xml:space="preserve">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9.2</w:t>
      </w:r>
      <w:r w:rsidRPr="00C34439">
        <w:t xml:space="preserve"> к настоящему ПДО)</w:t>
      </w:r>
      <w:r>
        <w:t>;</w:t>
      </w:r>
    </w:p>
    <w:p w:rsidR="00964CEB" w:rsidRPr="00964CEB" w:rsidRDefault="00964CEB" w:rsidP="008F44E8">
      <w:pPr>
        <w:autoSpaceDE w:val="0"/>
        <w:jc w:val="both"/>
      </w:pPr>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r w:rsidR="00964CEB">
        <w:t xml:space="preserve">. </w:t>
      </w:r>
      <w:r w:rsidR="00964CEB" w:rsidRPr="00964CEB">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00964CEB">
        <w:rPr>
          <w:i/>
        </w:rPr>
        <w:t>.</w:t>
      </w:r>
    </w:p>
    <w:p w:rsidR="008F44E8" w:rsidRDefault="008F44E8" w:rsidP="008F44E8">
      <w:pPr>
        <w:autoSpaceDE w:val="0"/>
        <w:jc w:val="both"/>
      </w:pP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p w:rsidR="003B3806" w:rsidRDefault="003B3806" w:rsidP="008F44E8">
      <w:pPr>
        <w:autoSpaceDE w:val="0"/>
        <w:jc w:val="both"/>
        <w:rPr>
          <w:b/>
        </w:rPr>
      </w:pP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654"/>
        <w:gridCol w:w="2558"/>
        <w:gridCol w:w="2160"/>
        <w:gridCol w:w="2309"/>
      </w:tblGrid>
      <w:tr w:rsidR="00B8471C" w:rsidRPr="00EC5F8B" w:rsidTr="00F85421">
        <w:trPr>
          <w:trHeight w:val="300"/>
          <w:tblHeader/>
        </w:trPr>
        <w:tc>
          <w:tcPr>
            <w:tcW w:w="582" w:type="dxa"/>
            <w:vMerge w:val="restart"/>
            <w:shd w:val="clear" w:color="auto" w:fill="D9D9D9"/>
            <w:vAlign w:val="center"/>
            <w:hideMark/>
          </w:tcPr>
          <w:p w:rsidR="00A627EA" w:rsidRPr="00EC5F8B" w:rsidRDefault="00A627EA" w:rsidP="00EC5F8B">
            <w:pPr>
              <w:jc w:val="center"/>
              <w:rPr>
                <w:rFonts w:cs="Arial"/>
                <w:b/>
                <w:bCs/>
                <w:sz w:val="22"/>
                <w:szCs w:val="22"/>
              </w:rPr>
            </w:pPr>
            <w:r w:rsidRPr="00EC5F8B">
              <w:rPr>
                <w:rFonts w:cs="Arial"/>
                <w:b/>
                <w:bCs/>
                <w:sz w:val="22"/>
                <w:szCs w:val="22"/>
              </w:rPr>
              <w:t>№ п/п</w:t>
            </w:r>
          </w:p>
        </w:tc>
        <w:tc>
          <w:tcPr>
            <w:tcW w:w="2730" w:type="dxa"/>
            <w:vMerge w:val="restart"/>
            <w:shd w:val="clear" w:color="auto" w:fill="D9D9D9"/>
            <w:vAlign w:val="center"/>
            <w:hideMark/>
          </w:tcPr>
          <w:p w:rsidR="00A627EA" w:rsidRPr="00EC5F8B" w:rsidRDefault="00A627EA" w:rsidP="00EC5F8B">
            <w:pPr>
              <w:jc w:val="center"/>
              <w:rPr>
                <w:rFonts w:cs="Arial"/>
                <w:b/>
                <w:bCs/>
                <w:sz w:val="22"/>
                <w:szCs w:val="22"/>
              </w:rPr>
            </w:pPr>
            <w:r w:rsidRPr="00EC5F8B">
              <w:rPr>
                <w:rFonts w:cs="Arial"/>
                <w:sz w:val="22"/>
                <w:szCs w:val="22"/>
                <w:u w:val="single"/>
              </w:rPr>
              <w:t>Контрагент должен иметь</w:t>
            </w:r>
            <w:r w:rsidRPr="00EC5F8B">
              <w:rPr>
                <w:rFonts w:cs="Arial"/>
                <w:b/>
                <w:bCs/>
                <w:sz w:val="22"/>
                <w:szCs w:val="22"/>
              </w:rPr>
              <w:t xml:space="preserve"> Требование </w:t>
            </w:r>
            <w:r w:rsidRPr="00EC5F8B">
              <w:rPr>
                <w:rFonts w:cs="Arial"/>
                <w:b/>
                <w:bCs/>
                <w:sz w:val="22"/>
                <w:szCs w:val="22"/>
              </w:rPr>
              <w:br/>
              <w:t>(параметр оценки)</w:t>
            </w:r>
          </w:p>
        </w:tc>
        <w:tc>
          <w:tcPr>
            <w:tcW w:w="2631" w:type="dxa"/>
            <w:vMerge w:val="restart"/>
            <w:shd w:val="clear" w:color="auto" w:fill="D9D9D9"/>
            <w:vAlign w:val="center"/>
            <w:hideMark/>
          </w:tcPr>
          <w:p w:rsidR="00A627EA" w:rsidRPr="00EC5F8B" w:rsidRDefault="00A627EA" w:rsidP="00EC5F8B">
            <w:pPr>
              <w:jc w:val="center"/>
              <w:rPr>
                <w:rFonts w:cs="Arial"/>
                <w:b/>
                <w:bCs/>
                <w:sz w:val="22"/>
                <w:szCs w:val="22"/>
              </w:rPr>
            </w:pPr>
            <w:r w:rsidRPr="00EC5F8B">
              <w:rPr>
                <w:rFonts w:cs="Arial"/>
                <w:b/>
                <w:bCs/>
                <w:sz w:val="22"/>
                <w:szCs w:val="22"/>
              </w:rPr>
              <w:t>Документы, подтверждающие соответствия требованию</w:t>
            </w:r>
          </w:p>
        </w:tc>
        <w:tc>
          <w:tcPr>
            <w:tcW w:w="1983" w:type="dxa"/>
            <w:vMerge w:val="restart"/>
            <w:shd w:val="clear" w:color="auto" w:fill="D9D9D9"/>
            <w:vAlign w:val="center"/>
            <w:hideMark/>
          </w:tcPr>
          <w:p w:rsidR="00A627EA" w:rsidRPr="00EC5F8B" w:rsidRDefault="00A627EA" w:rsidP="00EC5F8B">
            <w:pPr>
              <w:jc w:val="center"/>
              <w:rPr>
                <w:rFonts w:cs="Arial"/>
                <w:b/>
                <w:bCs/>
                <w:sz w:val="22"/>
                <w:szCs w:val="22"/>
              </w:rPr>
            </w:pPr>
            <w:r w:rsidRPr="00EC5F8B">
              <w:rPr>
                <w:rFonts w:cs="Arial"/>
                <w:b/>
                <w:bCs/>
                <w:sz w:val="22"/>
                <w:szCs w:val="22"/>
              </w:rPr>
              <w:t>Единица измерения</w:t>
            </w:r>
          </w:p>
        </w:tc>
        <w:tc>
          <w:tcPr>
            <w:tcW w:w="2337" w:type="dxa"/>
            <w:vMerge w:val="restart"/>
            <w:shd w:val="clear" w:color="auto" w:fill="D9D9D9"/>
            <w:vAlign w:val="center"/>
            <w:hideMark/>
          </w:tcPr>
          <w:p w:rsidR="00A627EA" w:rsidRPr="00EC5F8B" w:rsidRDefault="00A627EA" w:rsidP="00EC5F8B">
            <w:pPr>
              <w:jc w:val="center"/>
              <w:rPr>
                <w:rFonts w:cs="Arial"/>
                <w:b/>
                <w:bCs/>
                <w:sz w:val="22"/>
                <w:szCs w:val="22"/>
                <w:u w:val="single"/>
              </w:rPr>
            </w:pPr>
            <w:r w:rsidRPr="00EC5F8B">
              <w:rPr>
                <w:rFonts w:cs="Arial"/>
                <w:b/>
                <w:bCs/>
                <w:sz w:val="22"/>
                <w:szCs w:val="22"/>
              </w:rPr>
              <w:t>Условия соответствия</w:t>
            </w:r>
          </w:p>
        </w:tc>
      </w:tr>
      <w:tr w:rsidR="00B8471C" w:rsidRPr="00EC5F8B" w:rsidTr="00F85421">
        <w:trPr>
          <w:trHeight w:val="300"/>
          <w:tblHeader/>
        </w:trPr>
        <w:tc>
          <w:tcPr>
            <w:tcW w:w="582" w:type="dxa"/>
            <w:vMerge/>
            <w:shd w:val="clear" w:color="auto" w:fill="D9D9D9"/>
            <w:vAlign w:val="center"/>
            <w:hideMark/>
          </w:tcPr>
          <w:p w:rsidR="00A627EA" w:rsidRPr="00EC5F8B" w:rsidRDefault="00A627EA" w:rsidP="00EC5F8B">
            <w:pPr>
              <w:jc w:val="center"/>
              <w:rPr>
                <w:rFonts w:cs="Arial"/>
                <w:b/>
                <w:bCs/>
                <w:sz w:val="22"/>
                <w:szCs w:val="22"/>
              </w:rPr>
            </w:pPr>
          </w:p>
        </w:tc>
        <w:tc>
          <w:tcPr>
            <w:tcW w:w="2730" w:type="dxa"/>
            <w:vMerge/>
            <w:shd w:val="clear" w:color="auto" w:fill="D9D9D9"/>
            <w:vAlign w:val="center"/>
            <w:hideMark/>
          </w:tcPr>
          <w:p w:rsidR="00A627EA" w:rsidRPr="00EC5F8B" w:rsidRDefault="00A627EA" w:rsidP="00EC5F8B">
            <w:pPr>
              <w:jc w:val="center"/>
              <w:rPr>
                <w:rFonts w:cs="Arial"/>
                <w:b/>
                <w:bCs/>
                <w:sz w:val="22"/>
                <w:szCs w:val="22"/>
              </w:rPr>
            </w:pPr>
          </w:p>
        </w:tc>
        <w:tc>
          <w:tcPr>
            <w:tcW w:w="2631" w:type="dxa"/>
            <w:vMerge/>
            <w:shd w:val="clear" w:color="auto" w:fill="D9D9D9"/>
            <w:vAlign w:val="center"/>
            <w:hideMark/>
          </w:tcPr>
          <w:p w:rsidR="00A627EA" w:rsidRPr="00EC5F8B" w:rsidRDefault="00A627EA" w:rsidP="00EC5F8B">
            <w:pPr>
              <w:jc w:val="center"/>
              <w:rPr>
                <w:rFonts w:cs="Arial"/>
                <w:b/>
                <w:bCs/>
                <w:sz w:val="22"/>
                <w:szCs w:val="22"/>
              </w:rPr>
            </w:pPr>
          </w:p>
        </w:tc>
        <w:tc>
          <w:tcPr>
            <w:tcW w:w="1983" w:type="dxa"/>
            <w:vMerge/>
            <w:shd w:val="clear" w:color="auto" w:fill="D9D9D9"/>
            <w:vAlign w:val="center"/>
            <w:hideMark/>
          </w:tcPr>
          <w:p w:rsidR="00A627EA" w:rsidRPr="00EC5F8B" w:rsidRDefault="00A627EA" w:rsidP="00EC5F8B">
            <w:pPr>
              <w:jc w:val="center"/>
              <w:rPr>
                <w:rFonts w:cs="Arial"/>
                <w:b/>
                <w:bCs/>
                <w:sz w:val="22"/>
                <w:szCs w:val="22"/>
              </w:rPr>
            </w:pPr>
          </w:p>
        </w:tc>
        <w:tc>
          <w:tcPr>
            <w:tcW w:w="2337" w:type="dxa"/>
            <w:vMerge/>
            <w:shd w:val="clear" w:color="auto" w:fill="D9D9D9"/>
            <w:vAlign w:val="center"/>
            <w:hideMark/>
          </w:tcPr>
          <w:p w:rsidR="00A627EA" w:rsidRPr="00EC5F8B" w:rsidRDefault="00A627EA" w:rsidP="00EC5F8B">
            <w:pPr>
              <w:jc w:val="center"/>
              <w:rPr>
                <w:rFonts w:cs="Arial"/>
                <w:b/>
                <w:bCs/>
                <w:sz w:val="22"/>
                <w:szCs w:val="22"/>
                <w:u w:val="single"/>
              </w:rPr>
            </w:pPr>
          </w:p>
        </w:tc>
      </w:tr>
      <w:tr w:rsidR="00B8471C" w:rsidRPr="00EC5F8B" w:rsidTr="00F85421">
        <w:trPr>
          <w:trHeight w:val="164"/>
          <w:tblHeader/>
        </w:trPr>
        <w:tc>
          <w:tcPr>
            <w:tcW w:w="582" w:type="dxa"/>
            <w:shd w:val="clear" w:color="auto" w:fill="D9D9D9"/>
            <w:noWrap/>
            <w:vAlign w:val="center"/>
          </w:tcPr>
          <w:p w:rsidR="00A627EA" w:rsidRPr="00EC5F8B" w:rsidRDefault="00A627EA" w:rsidP="00EC5F8B">
            <w:pPr>
              <w:jc w:val="center"/>
              <w:rPr>
                <w:rFonts w:cs="Arial"/>
                <w:b/>
                <w:sz w:val="22"/>
                <w:szCs w:val="22"/>
              </w:rPr>
            </w:pPr>
            <w:r w:rsidRPr="00EC5F8B">
              <w:rPr>
                <w:rFonts w:cs="Arial"/>
                <w:b/>
                <w:sz w:val="22"/>
                <w:szCs w:val="22"/>
              </w:rPr>
              <w:t>1</w:t>
            </w:r>
          </w:p>
        </w:tc>
        <w:tc>
          <w:tcPr>
            <w:tcW w:w="2730" w:type="dxa"/>
            <w:shd w:val="clear" w:color="auto" w:fill="D9D9D9"/>
            <w:vAlign w:val="center"/>
          </w:tcPr>
          <w:p w:rsidR="00A627EA" w:rsidRPr="00EC5F8B" w:rsidRDefault="00A627EA" w:rsidP="00EC5F8B">
            <w:pPr>
              <w:jc w:val="center"/>
              <w:rPr>
                <w:rFonts w:cs="Arial"/>
                <w:b/>
                <w:sz w:val="22"/>
                <w:szCs w:val="22"/>
              </w:rPr>
            </w:pPr>
            <w:r w:rsidRPr="00EC5F8B">
              <w:rPr>
                <w:rFonts w:cs="Arial"/>
                <w:b/>
                <w:sz w:val="22"/>
                <w:szCs w:val="22"/>
              </w:rPr>
              <w:t>2</w:t>
            </w:r>
          </w:p>
        </w:tc>
        <w:tc>
          <w:tcPr>
            <w:tcW w:w="2631" w:type="dxa"/>
            <w:shd w:val="clear" w:color="auto" w:fill="D9D9D9"/>
            <w:vAlign w:val="center"/>
          </w:tcPr>
          <w:p w:rsidR="00A627EA" w:rsidRPr="00EC5F8B" w:rsidRDefault="00A627EA" w:rsidP="00EC5F8B">
            <w:pPr>
              <w:jc w:val="center"/>
              <w:rPr>
                <w:rFonts w:cs="Arial"/>
                <w:b/>
                <w:sz w:val="22"/>
                <w:szCs w:val="22"/>
              </w:rPr>
            </w:pPr>
            <w:r w:rsidRPr="00EC5F8B">
              <w:rPr>
                <w:rFonts w:cs="Arial"/>
                <w:b/>
                <w:sz w:val="22"/>
                <w:szCs w:val="22"/>
              </w:rPr>
              <w:t>3</w:t>
            </w:r>
          </w:p>
        </w:tc>
        <w:tc>
          <w:tcPr>
            <w:tcW w:w="1983" w:type="dxa"/>
            <w:shd w:val="clear" w:color="auto" w:fill="D9D9D9"/>
            <w:vAlign w:val="center"/>
          </w:tcPr>
          <w:p w:rsidR="00A627EA" w:rsidRPr="00EC5F8B" w:rsidRDefault="00A627EA" w:rsidP="00EC5F8B">
            <w:pPr>
              <w:jc w:val="center"/>
              <w:rPr>
                <w:rFonts w:cs="Arial"/>
                <w:b/>
                <w:sz w:val="22"/>
                <w:szCs w:val="22"/>
              </w:rPr>
            </w:pPr>
            <w:r w:rsidRPr="00EC5F8B">
              <w:rPr>
                <w:rFonts w:cs="Arial"/>
                <w:b/>
                <w:sz w:val="22"/>
                <w:szCs w:val="22"/>
              </w:rPr>
              <w:t>4</w:t>
            </w:r>
          </w:p>
        </w:tc>
        <w:tc>
          <w:tcPr>
            <w:tcW w:w="2337" w:type="dxa"/>
            <w:shd w:val="clear" w:color="auto" w:fill="D9D9D9"/>
            <w:vAlign w:val="center"/>
          </w:tcPr>
          <w:p w:rsidR="00A627EA" w:rsidRPr="00EC5F8B" w:rsidRDefault="00A627EA" w:rsidP="00EC5F8B">
            <w:pPr>
              <w:jc w:val="center"/>
              <w:rPr>
                <w:rFonts w:cs="Arial"/>
                <w:b/>
                <w:sz w:val="22"/>
                <w:szCs w:val="22"/>
              </w:rPr>
            </w:pPr>
            <w:r w:rsidRPr="00EC5F8B">
              <w:rPr>
                <w:rFonts w:cs="Arial"/>
                <w:b/>
                <w:sz w:val="22"/>
                <w:szCs w:val="22"/>
              </w:rPr>
              <w:t>5</w:t>
            </w:r>
          </w:p>
        </w:tc>
      </w:tr>
      <w:tr w:rsidR="00B8471C" w:rsidRPr="00EC5F8B" w:rsidTr="00F85421">
        <w:trPr>
          <w:trHeight w:val="164"/>
        </w:trPr>
        <w:tc>
          <w:tcPr>
            <w:tcW w:w="582" w:type="dxa"/>
            <w:shd w:val="clear" w:color="auto" w:fill="auto"/>
            <w:noWrap/>
            <w:vAlign w:val="center"/>
          </w:tcPr>
          <w:p w:rsidR="00A627EA" w:rsidRPr="00EC5F8B" w:rsidRDefault="00A627EA" w:rsidP="00E65423">
            <w:pPr>
              <w:rPr>
                <w:rFonts w:cs="Arial"/>
                <w:sz w:val="22"/>
                <w:szCs w:val="22"/>
              </w:rPr>
            </w:pPr>
            <w:r w:rsidRPr="00EC5F8B">
              <w:rPr>
                <w:rFonts w:cs="Arial"/>
                <w:sz w:val="22"/>
                <w:szCs w:val="22"/>
              </w:rPr>
              <w:t>1</w:t>
            </w:r>
          </w:p>
        </w:tc>
        <w:tc>
          <w:tcPr>
            <w:tcW w:w="2730" w:type="dxa"/>
            <w:shd w:val="clear" w:color="auto" w:fill="auto"/>
          </w:tcPr>
          <w:p w:rsidR="00A627EA" w:rsidRPr="00EC5F8B" w:rsidRDefault="003B3806" w:rsidP="00A627EA">
            <w:pPr>
              <w:autoSpaceDE w:val="0"/>
              <w:rPr>
                <w:rFonts w:cs="Arial"/>
                <w:b/>
                <w:sz w:val="22"/>
                <w:szCs w:val="22"/>
              </w:rPr>
            </w:pPr>
            <w:r w:rsidRPr="00EC5F8B">
              <w:rPr>
                <w:rFonts w:cs="Arial"/>
                <w:sz w:val="22"/>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EC5F8B" w:rsidRDefault="00A627EA" w:rsidP="00A627EA">
            <w:pPr>
              <w:suppressAutoHyphens/>
              <w:autoSpaceDE w:val="0"/>
              <w:ind w:left="34"/>
              <w:rPr>
                <w:rFonts w:cs="Arial"/>
                <w:sz w:val="22"/>
                <w:szCs w:val="22"/>
              </w:rPr>
            </w:pPr>
            <w:r w:rsidRPr="00EC5F8B">
              <w:rPr>
                <w:rFonts w:cs="Arial"/>
                <w:sz w:val="22"/>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983" w:type="dxa"/>
            <w:shd w:val="clear" w:color="000000" w:fill="FFFFFF"/>
            <w:vAlign w:val="center"/>
          </w:tcPr>
          <w:p w:rsidR="00A627EA" w:rsidRPr="00EC5F8B" w:rsidRDefault="003C2894" w:rsidP="003C2894">
            <w:pPr>
              <w:jc w:val="center"/>
              <w:rPr>
                <w:rFonts w:cs="Arial"/>
                <w:sz w:val="22"/>
                <w:szCs w:val="22"/>
              </w:rPr>
            </w:pPr>
            <w:r w:rsidRPr="00EC5F8B">
              <w:rPr>
                <w:rFonts w:cs="Arial"/>
                <w:sz w:val="22"/>
                <w:szCs w:val="22"/>
              </w:rPr>
              <w:t>Лет</w:t>
            </w:r>
          </w:p>
          <w:p w:rsidR="003C2894" w:rsidRPr="00EC5F8B" w:rsidRDefault="003C2894" w:rsidP="00E65423">
            <w:pPr>
              <w:rPr>
                <w:rFonts w:cs="Arial"/>
                <w:sz w:val="22"/>
                <w:szCs w:val="22"/>
              </w:rPr>
            </w:pPr>
          </w:p>
        </w:tc>
        <w:tc>
          <w:tcPr>
            <w:tcW w:w="2337" w:type="dxa"/>
            <w:shd w:val="clear" w:color="auto" w:fill="auto"/>
            <w:vAlign w:val="center"/>
          </w:tcPr>
          <w:p w:rsidR="00A627EA" w:rsidRPr="00EC5F8B" w:rsidRDefault="00821759" w:rsidP="00E65423">
            <w:pPr>
              <w:rPr>
                <w:rFonts w:cs="Arial"/>
                <w:sz w:val="22"/>
                <w:szCs w:val="22"/>
              </w:rPr>
            </w:pPr>
            <w:r w:rsidRPr="00EC5F8B">
              <w:rPr>
                <w:rFonts w:cs="Arial"/>
                <w:sz w:val="22"/>
                <w:szCs w:val="22"/>
              </w:rPr>
              <w:t>Опыт работы не менее 3 лет</w:t>
            </w:r>
          </w:p>
        </w:tc>
      </w:tr>
      <w:tr w:rsidR="00B8471C" w:rsidRPr="00EC5F8B" w:rsidTr="00F85421">
        <w:trPr>
          <w:trHeight w:val="164"/>
        </w:trPr>
        <w:tc>
          <w:tcPr>
            <w:tcW w:w="582" w:type="dxa"/>
            <w:shd w:val="clear" w:color="auto" w:fill="auto"/>
            <w:noWrap/>
            <w:vAlign w:val="center"/>
            <w:hideMark/>
          </w:tcPr>
          <w:p w:rsidR="00B8471C" w:rsidRPr="00EC5F8B" w:rsidRDefault="00B8471C" w:rsidP="00E65423">
            <w:pPr>
              <w:rPr>
                <w:rFonts w:cs="Arial"/>
                <w:sz w:val="22"/>
                <w:szCs w:val="22"/>
              </w:rPr>
            </w:pPr>
            <w:r w:rsidRPr="00EC5F8B">
              <w:rPr>
                <w:rFonts w:cs="Arial"/>
                <w:sz w:val="22"/>
                <w:szCs w:val="22"/>
              </w:rPr>
              <w:t>2</w:t>
            </w:r>
          </w:p>
        </w:tc>
        <w:tc>
          <w:tcPr>
            <w:tcW w:w="2730" w:type="dxa"/>
            <w:shd w:val="clear" w:color="auto" w:fill="auto"/>
          </w:tcPr>
          <w:p w:rsidR="003C2894" w:rsidRPr="00EC5F8B" w:rsidRDefault="003C2894" w:rsidP="003C2894">
            <w:pPr>
              <w:suppressAutoHyphens/>
              <w:autoSpaceDE w:val="0"/>
              <w:ind w:left="34"/>
              <w:rPr>
                <w:rFonts w:cs="Arial"/>
                <w:sz w:val="22"/>
                <w:szCs w:val="22"/>
              </w:rPr>
            </w:pPr>
            <w:r w:rsidRPr="00EC5F8B">
              <w:rPr>
                <w:rFonts w:cs="Arial"/>
                <w:sz w:val="22"/>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006C48B0" w:rsidRPr="00EC5F8B">
              <w:rPr>
                <w:rFonts w:cs="Arial"/>
                <w:sz w:val="22"/>
                <w:szCs w:val="22"/>
              </w:rPr>
              <w:t xml:space="preserve"> для </w:t>
            </w:r>
            <w:r w:rsidR="006C48B0" w:rsidRPr="00EC5F8B">
              <w:rPr>
                <w:rFonts w:cs="Arial"/>
                <w:b/>
                <w:sz w:val="22"/>
                <w:szCs w:val="22"/>
              </w:rPr>
              <w:t>Лот</w:t>
            </w:r>
            <w:r w:rsidR="00DF0B0E" w:rsidRPr="00EC5F8B">
              <w:rPr>
                <w:rFonts w:cs="Arial"/>
                <w:b/>
                <w:sz w:val="22"/>
                <w:szCs w:val="22"/>
              </w:rPr>
              <w:t>а</w:t>
            </w:r>
            <w:r w:rsidR="006C48B0" w:rsidRPr="00EC5F8B">
              <w:rPr>
                <w:rFonts w:cs="Arial"/>
                <w:b/>
                <w:sz w:val="22"/>
                <w:szCs w:val="22"/>
              </w:rPr>
              <w:t xml:space="preserve"> №1</w:t>
            </w:r>
            <w:r w:rsidR="00DF0B0E" w:rsidRPr="00EC5F8B">
              <w:rPr>
                <w:rFonts w:cs="Arial"/>
                <w:sz w:val="22"/>
                <w:szCs w:val="22"/>
              </w:rPr>
              <w:t>:</w:t>
            </w:r>
          </w:p>
          <w:p w:rsidR="003C2894" w:rsidRPr="00EC5F8B" w:rsidRDefault="003C2894" w:rsidP="003C2894">
            <w:pPr>
              <w:suppressAutoHyphens/>
              <w:autoSpaceDE w:val="0"/>
              <w:ind w:left="34"/>
              <w:rPr>
                <w:rFonts w:cs="Arial"/>
                <w:sz w:val="22"/>
                <w:szCs w:val="22"/>
              </w:rPr>
            </w:pPr>
            <w:r w:rsidRPr="00EC5F8B">
              <w:rPr>
                <w:rFonts w:cs="Arial"/>
                <w:sz w:val="22"/>
                <w:szCs w:val="22"/>
              </w:rPr>
              <w:t>Основные рабочие:</w:t>
            </w:r>
          </w:p>
          <w:p w:rsidR="003C2894" w:rsidRPr="00EC5F8B" w:rsidRDefault="003C2894" w:rsidP="003C2894">
            <w:pPr>
              <w:suppressAutoHyphens/>
              <w:autoSpaceDE w:val="0"/>
              <w:ind w:left="34"/>
              <w:rPr>
                <w:rFonts w:cs="Arial"/>
                <w:sz w:val="22"/>
                <w:szCs w:val="22"/>
              </w:rPr>
            </w:pPr>
            <w:r w:rsidRPr="00EC5F8B">
              <w:rPr>
                <w:rFonts w:cs="Arial"/>
                <w:sz w:val="22"/>
                <w:szCs w:val="22"/>
              </w:rPr>
              <w:t>плотник-бетонщик - не менее 10чел.;</w:t>
            </w:r>
          </w:p>
          <w:p w:rsidR="003C2894" w:rsidRPr="00EC5F8B" w:rsidRDefault="003C2894" w:rsidP="003C2894">
            <w:pPr>
              <w:suppressAutoHyphens/>
              <w:autoSpaceDE w:val="0"/>
              <w:ind w:left="34"/>
              <w:rPr>
                <w:rFonts w:cs="Arial"/>
                <w:sz w:val="22"/>
                <w:szCs w:val="22"/>
              </w:rPr>
            </w:pPr>
            <w:r w:rsidRPr="00EC5F8B">
              <w:rPr>
                <w:rFonts w:cs="Arial"/>
                <w:sz w:val="22"/>
                <w:szCs w:val="22"/>
              </w:rPr>
              <w:t>электрогазосварщик - не менее 20 чел.</w:t>
            </w:r>
          </w:p>
          <w:p w:rsidR="003B3806" w:rsidRPr="00EC5F8B" w:rsidRDefault="003C2894" w:rsidP="003C2894">
            <w:pPr>
              <w:suppressAutoHyphens/>
              <w:autoSpaceDE w:val="0"/>
              <w:ind w:left="34"/>
              <w:rPr>
                <w:rFonts w:cs="Arial"/>
                <w:sz w:val="22"/>
                <w:szCs w:val="22"/>
              </w:rPr>
            </w:pPr>
            <w:r w:rsidRPr="00EC5F8B">
              <w:rPr>
                <w:rFonts w:cs="Arial"/>
                <w:sz w:val="22"/>
                <w:szCs w:val="22"/>
              </w:rPr>
              <w:t>монтажник - не менее 40 чел.                                                         ИТР: Штатный инженер по охране труда-1 чел.</w:t>
            </w:r>
          </w:p>
        </w:tc>
        <w:tc>
          <w:tcPr>
            <w:tcW w:w="2631" w:type="dxa"/>
            <w:shd w:val="clear" w:color="auto" w:fill="auto"/>
          </w:tcPr>
          <w:p w:rsidR="00B8471C" w:rsidRPr="00EC5F8B" w:rsidRDefault="00B8471C" w:rsidP="00A627EA">
            <w:pPr>
              <w:tabs>
                <w:tab w:val="num" w:pos="34"/>
              </w:tabs>
              <w:suppressAutoHyphens/>
              <w:autoSpaceDE w:val="0"/>
              <w:ind w:left="34" w:hanging="34"/>
              <w:rPr>
                <w:rFonts w:cs="Arial"/>
                <w:sz w:val="22"/>
                <w:szCs w:val="22"/>
              </w:rPr>
            </w:pPr>
            <w:r w:rsidRPr="00EC5F8B">
              <w:rPr>
                <w:rFonts w:cs="Arial"/>
                <w:sz w:val="22"/>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B8471C" w:rsidRPr="00EC5F8B" w:rsidRDefault="003C2894" w:rsidP="003C2894">
            <w:pPr>
              <w:jc w:val="center"/>
              <w:rPr>
                <w:rFonts w:cs="Arial"/>
                <w:sz w:val="22"/>
                <w:szCs w:val="22"/>
              </w:rPr>
            </w:pPr>
            <w:r w:rsidRPr="00EC5F8B">
              <w:rPr>
                <w:rFonts w:cs="Arial"/>
                <w:sz w:val="22"/>
                <w:szCs w:val="22"/>
              </w:rPr>
              <w:t>Чел.</w:t>
            </w:r>
          </w:p>
          <w:p w:rsidR="003C2894" w:rsidRPr="00EC5F8B" w:rsidRDefault="003C2894" w:rsidP="00E65423">
            <w:pPr>
              <w:rPr>
                <w:rFonts w:cs="Arial"/>
                <w:sz w:val="22"/>
                <w:szCs w:val="22"/>
              </w:rPr>
            </w:pPr>
          </w:p>
        </w:tc>
        <w:tc>
          <w:tcPr>
            <w:tcW w:w="2337" w:type="dxa"/>
            <w:shd w:val="clear" w:color="auto" w:fill="auto"/>
            <w:vAlign w:val="center"/>
          </w:tcPr>
          <w:p w:rsidR="00821759" w:rsidRPr="00EC5F8B" w:rsidRDefault="00B8471C" w:rsidP="00821759">
            <w:pPr>
              <w:suppressAutoHyphens/>
              <w:autoSpaceDE w:val="0"/>
              <w:ind w:left="34"/>
              <w:rPr>
                <w:rFonts w:cs="Arial"/>
                <w:sz w:val="22"/>
                <w:szCs w:val="22"/>
              </w:rPr>
            </w:pPr>
            <w:r w:rsidRPr="00EC5F8B">
              <w:rPr>
                <w:rFonts w:cs="Arial"/>
                <w:sz w:val="22"/>
                <w:szCs w:val="22"/>
              </w:rPr>
              <w:t>Наличие</w:t>
            </w:r>
            <w:r w:rsidR="00821759" w:rsidRPr="00EC5F8B">
              <w:rPr>
                <w:rFonts w:cs="Arial"/>
                <w:sz w:val="22"/>
                <w:szCs w:val="22"/>
              </w:rPr>
              <w:t xml:space="preserve"> рабочих:</w:t>
            </w:r>
          </w:p>
          <w:p w:rsidR="00B8471C" w:rsidRPr="00EC5F8B" w:rsidRDefault="003C2894" w:rsidP="003C2894">
            <w:pPr>
              <w:rPr>
                <w:rFonts w:cs="Arial"/>
                <w:sz w:val="22"/>
                <w:szCs w:val="22"/>
              </w:rPr>
            </w:pPr>
            <w:r w:rsidRPr="00EC5F8B">
              <w:rPr>
                <w:rFonts w:cs="Arial"/>
                <w:sz w:val="22"/>
                <w:szCs w:val="22"/>
              </w:rPr>
              <w:t>плотник-бетонщик - не менее 10 чел.; электрогазосварщик - не менее 20 чел., монтажник - не менее 40 чел.                        ИТР – инженер по охране труда-1 чел.</w:t>
            </w:r>
          </w:p>
        </w:tc>
      </w:tr>
      <w:tr w:rsidR="00DF0B0E" w:rsidRPr="00EC5F8B" w:rsidTr="00F06FE6">
        <w:trPr>
          <w:trHeight w:val="196"/>
        </w:trPr>
        <w:tc>
          <w:tcPr>
            <w:tcW w:w="582" w:type="dxa"/>
            <w:shd w:val="clear" w:color="auto" w:fill="auto"/>
            <w:noWrap/>
            <w:vAlign w:val="center"/>
          </w:tcPr>
          <w:p w:rsidR="00DF0B0E" w:rsidRPr="00EC5F8B" w:rsidRDefault="00DF0B0E" w:rsidP="00F06FE6">
            <w:pPr>
              <w:rPr>
                <w:rFonts w:cs="Arial"/>
                <w:sz w:val="22"/>
                <w:szCs w:val="22"/>
              </w:rPr>
            </w:pPr>
            <w:r w:rsidRPr="00EC5F8B">
              <w:rPr>
                <w:rFonts w:cs="Arial"/>
                <w:sz w:val="22"/>
                <w:szCs w:val="22"/>
              </w:rPr>
              <w:t>3</w:t>
            </w:r>
          </w:p>
        </w:tc>
        <w:tc>
          <w:tcPr>
            <w:tcW w:w="2730" w:type="dxa"/>
            <w:shd w:val="clear" w:color="auto" w:fill="auto"/>
          </w:tcPr>
          <w:p w:rsidR="00DF0B0E" w:rsidRPr="00EC5F8B" w:rsidRDefault="00DF0B0E" w:rsidP="00F06FE6">
            <w:pPr>
              <w:suppressAutoHyphens/>
              <w:autoSpaceDE w:val="0"/>
              <w:ind w:left="34"/>
              <w:rPr>
                <w:rFonts w:cs="Arial"/>
                <w:sz w:val="22"/>
                <w:szCs w:val="22"/>
              </w:rPr>
            </w:pPr>
            <w:r w:rsidRPr="00EC5F8B">
              <w:rPr>
                <w:rFonts w:cs="Arial"/>
                <w:sz w:val="22"/>
                <w:szCs w:val="22"/>
              </w:rPr>
              <w:t xml:space="preserve">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для </w:t>
            </w:r>
            <w:r w:rsidRPr="00EC5F8B">
              <w:rPr>
                <w:rFonts w:cs="Arial"/>
                <w:b/>
                <w:sz w:val="22"/>
                <w:szCs w:val="22"/>
              </w:rPr>
              <w:t>Лота №2</w:t>
            </w:r>
            <w:r w:rsidRPr="00EC5F8B">
              <w:rPr>
                <w:rFonts w:cs="Arial"/>
                <w:sz w:val="22"/>
                <w:szCs w:val="22"/>
              </w:rPr>
              <w:t>:</w:t>
            </w:r>
          </w:p>
          <w:p w:rsidR="00DF0B0E" w:rsidRPr="00EC5F8B" w:rsidRDefault="00DF0B0E" w:rsidP="00F06FE6">
            <w:pPr>
              <w:suppressAutoHyphens/>
              <w:autoSpaceDE w:val="0"/>
              <w:ind w:left="34"/>
              <w:rPr>
                <w:rFonts w:cs="Arial"/>
                <w:sz w:val="22"/>
                <w:szCs w:val="22"/>
              </w:rPr>
            </w:pPr>
            <w:r w:rsidRPr="00EC5F8B">
              <w:rPr>
                <w:rFonts w:cs="Arial"/>
                <w:sz w:val="22"/>
                <w:szCs w:val="22"/>
              </w:rPr>
              <w:t>Основные рабочие:</w:t>
            </w:r>
          </w:p>
          <w:p w:rsidR="00DF0B0E" w:rsidRPr="00EC5F8B" w:rsidRDefault="00DF0B0E" w:rsidP="00F06FE6">
            <w:pPr>
              <w:suppressAutoHyphens/>
              <w:autoSpaceDE w:val="0"/>
              <w:ind w:left="34"/>
              <w:rPr>
                <w:rFonts w:cs="Arial"/>
                <w:sz w:val="22"/>
                <w:szCs w:val="22"/>
              </w:rPr>
            </w:pPr>
            <w:r w:rsidRPr="00EC5F8B">
              <w:rPr>
                <w:rFonts w:cs="Arial"/>
                <w:sz w:val="22"/>
                <w:szCs w:val="22"/>
              </w:rPr>
              <w:t>плотник-бетонщик - не менее 6 чел.;</w:t>
            </w:r>
          </w:p>
          <w:p w:rsidR="00DF0B0E" w:rsidRPr="00EC5F8B" w:rsidRDefault="00DF0B0E" w:rsidP="00F06FE6">
            <w:pPr>
              <w:suppressAutoHyphens/>
              <w:autoSpaceDE w:val="0"/>
              <w:ind w:left="34"/>
              <w:rPr>
                <w:rFonts w:cs="Arial"/>
                <w:sz w:val="22"/>
                <w:szCs w:val="22"/>
              </w:rPr>
            </w:pPr>
            <w:r w:rsidRPr="00EC5F8B">
              <w:rPr>
                <w:rFonts w:cs="Arial"/>
                <w:sz w:val="22"/>
                <w:szCs w:val="22"/>
              </w:rPr>
              <w:t>электрогазосварщик - не менее 10 чел.</w:t>
            </w:r>
          </w:p>
          <w:p w:rsidR="00DF0B0E" w:rsidRPr="00EC5F8B" w:rsidRDefault="00DF0B0E" w:rsidP="00DF0B0E">
            <w:pPr>
              <w:suppressAutoHyphens/>
              <w:autoSpaceDE w:val="0"/>
              <w:ind w:left="34"/>
              <w:rPr>
                <w:rFonts w:cs="Arial"/>
                <w:sz w:val="22"/>
                <w:szCs w:val="22"/>
              </w:rPr>
            </w:pPr>
            <w:r w:rsidRPr="00EC5F8B">
              <w:rPr>
                <w:rFonts w:cs="Arial"/>
                <w:sz w:val="22"/>
                <w:szCs w:val="22"/>
              </w:rPr>
              <w:t>монтажник - не менее 10 чел.                                                         ИТР: Штатный инженер по охране труда-1 чел.</w:t>
            </w:r>
          </w:p>
        </w:tc>
        <w:tc>
          <w:tcPr>
            <w:tcW w:w="2631" w:type="dxa"/>
            <w:shd w:val="clear" w:color="auto" w:fill="auto"/>
          </w:tcPr>
          <w:p w:rsidR="00DF0B0E" w:rsidRPr="00EC5F8B" w:rsidRDefault="00DF0B0E" w:rsidP="00F06FE6">
            <w:pPr>
              <w:tabs>
                <w:tab w:val="num" w:pos="34"/>
              </w:tabs>
              <w:suppressAutoHyphens/>
              <w:autoSpaceDE w:val="0"/>
              <w:ind w:left="34" w:hanging="34"/>
              <w:rPr>
                <w:rFonts w:cs="Arial"/>
                <w:sz w:val="22"/>
                <w:szCs w:val="22"/>
              </w:rPr>
            </w:pPr>
            <w:r w:rsidRPr="00EC5F8B">
              <w:rPr>
                <w:rFonts w:cs="Arial"/>
                <w:sz w:val="22"/>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DF0B0E" w:rsidRPr="00EC5F8B" w:rsidRDefault="00DF0B0E" w:rsidP="00F06FE6">
            <w:pPr>
              <w:jc w:val="center"/>
              <w:rPr>
                <w:rFonts w:cs="Arial"/>
                <w:sz w:val="22"/>
                <w:szCs w:val="22"/>
              </w:rPr>
            </w:pPr>
            <w:r w:rsidRPr="00EC5F8B">
              <w:rPr>
                <w:rFonts w:cs="Arial"/>
                <w:sz w:val="22"/>
                <w:szCs w:val="22"/>
              </w:rPr>
              <w:t>Чел.</w:t>
            </w:r>
          </w:p>
          <w:p w:rsidR="00DF0B0E" w:rsidRPr="00EC5F8B" w:rsidRDefault="00DF0B0E" w:rsidP="00F06FE6">
            <w:pPr>
              <w:rPr>
                <w:rFonts w:cs="Arial"/>
                <w:sz w:val="22"/>
                <w:szCs w:val="22"/>
              </w:rPr>
            </w:pPr>
          </w:p>
        </w:tc>
        <w:tc>
          <w:tcPr>
            <w:tcW w:w="2337" w:type="dxa"/>
            <w:shd w:val="clear" w:color="000000" w:fill="FFFFFF"/>
            <w:vAlign w:val="center"/>
          </w:tcPr>
          <w:p w:rsidR="00DF0B0E" w:rsidRPr="00EC5F8B" w:rsidRDefault="00DF0B0E" w:rsidP="00F06FE6">
            <w:pPr>
              <w:suppressAutoHyphens/>
              <w:autoSpaceDE w:val="0"/>
              <w:ind w:left="34"/>
              <w:rPr>
                <w:rFonts w:cs="Arial"/>
                <w:sz w:val="22"/>
                <w:szCs w:val="22"/>
              </w:rPr>
            </w:pPr>
            <w:r w:rsidRPr="00EC5F8B">
              <w:rPr>
                <w:rFonts w:cs="Arial"/>
                <w:sz w:val="22"/>
                <w:szCs w:val="22"/>
              </w:rPr>
              <w:t>Наличие рабочих:</w:t>
            </w:r>
          </w:p>
          <w:p w:rsidR="00DF0B0E" w:rsidRPr="00EC5F8B" w:rsidRDefault="00DF0B0E" w:rsidP="00DF0B0E">
            <w:pPr>
              <w:rPr>
                <w:rFonts w:cs="Arial"/>
                <w:sz w:val="22"/>
                <w:szCs w:val="22"/>
              </w:rPr>
            </w:pPr>
            <w:r w:rsidRPr="00EC5F8B">
              <w:rPr>
                <w:rFonts w:cs="Arial"/>
                <w:sz w:val="22"/>
                <w:szCs w:val="22"/>
              </w:rPr>
              <w:t>плотник-бетонщик - не менее 6 чел.; электрогазосварщик - не менее 10 чел., монтажник - не менее 10 чел.                        ИТР – инженер по охране труда-1 чел.</w:t>
            </w:r>
          </w:p>
        </w:tc>
      </w:tr>
      <w:tr w:rsidR="006C48B0" w:rsidRPr="00EC5F8B" w:rsidTr="006C48B0">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4</w:t>
            </w:r>
          </w:p>
        </w:tc>
        <w:tc>
          <w:tcPr>
            <w:tcW w:w="2730" w:type="dxa"/>
            <w:shd w:val="clear" w:color="auto" w:fill="auto"/>
            <w:vAlign w:val="center"/>
          </w:tcPr>
          <w:p w:rsidR="006C48B0" w:rsidRPr="00EC5F8B" w:rsidRDefault="006C48B0" w:rsidP="003B3806">
            <w:pPr>
              <w:suppressAutoHyphens/>
              <w:autoSpaceDE w:val="0"/>
              <w:ind w:left="34"/>
              <w:jc w:val="both"/>
              <w:rPr>
                <w:rFonts w:cs="Arial"/>
                <w:sz w:val="22"/>
                <w:szCs w:val="22"/>
              </w:rPr>
            </w:pPr>
            <w:r w:rsidRPr="00EC5F8B">
              <w:rPr>
                <w:rFonts w:cs="Arial"/>
                <w:sz w:val="22"/>
                <w:szCs w:val="22"/>
              </w:rPr>
              <w:t>Выполнение работ собственными силами Генподрядчика в объеме не менее 70%</w:t>
            </w:r>
          </w:p>
        </w:tc>
        <w:tc>
          <w:tcPr>
            <w:tcW w:w="2631" w:type="dxa"/>
            <w:shd w:val="clear" w:color="auto" w:fill="auto"/>
            <w:vAlign w:val="center"/>
          </w:tcPr>
          <w:p w:rsidR="006C48B0" w:rsidRPr="00EC5F8B" w:rsidRDefault="006C48B0" w:rsidP="003B3806">
            <w:pPr>
              <w:suppressAutoHyphens/>
              <w:autoSpaceDE w:val="0"/>
              <w:ind w:left="34"/>
              <w:jc w:val="both"/>
              <w:rPr>
                <w:rFonts w:cs="Arial"/>
                <w:sz w:val="22"/>
                <w:szCs w:val="22"/>
              </w:rPr>
            </w:pPr>
            <w:r w:rsidRPr="00EC5F8B">
              <w:rPr>
                <w:rFonts w:cs="Arial"/>
                <w:sz w:val="22"/>
                <w:szCs w:val="22"/>
              </w:rPr>
              <w:t>Гарантийное письмо о выполнении работ собственными силами Генподрядчика в объеме не менее 70%</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Да/нет</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70% и более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5</w:t>
            </w:r>
          </w:p>
        </w:tc>
        <w:tc>
          <w:tcPr>
            <w:tcW w:w="2730" w:type="dxa"/>
            <w:shd w:val="clear" w:color="auto" w:fill="auto"/>
            <w:vAlign w:val="center"/>
          </w:tcPr>
          <w:p w:rsidR="006C48B0" w:rsidRPr="00EC5F8B" w:rsidRDefault="006C48B0" w:rsidP="006C48B0">
            <w:pPr>
              <w:autoSpaceDE w:val="0"/>
              <w:jc w:val="both"/>
              <w:rPr>
                <w:rFonts w:cs="Arial"/>
                <w:sz w:val="22"/>
                <w:szCs w:val="22"/>
              </w:rPr>
            </w:pPr>
            <w:r w:rsidRPr="00EC5F8B">
              <w:rPr>
                <w:rFonts w:cs="Arial"/>
                <w:sz w:val="22"/>
                <w:szCs w:val="22"/>
              </w:rPr>
              <w:t>Среднегодовой оборот по СМР за последние 3 года (2013, 2014, 2015 гг), не менее 800 млн. руб. без НДС (</w:t>
            </w:r>
            <w:r w:rsidRPr="00EC5F8B">
              <w:rPr>
                <w:rFonts w:cs="Arial"/>
                <w:b/>
                <w:sz w:val="22"/>
                <w:szCs w:val="22"/>
              </w:rPr>
              <w:t>Для Лота №1</w:t>
            </w:r>
            <w:r w:rsidRPr="00EC5F8B">
              <w:rPr>
                <w:rFonts w:cs="Arial"/>
                <w:sz w:val="22"/>
                <w:szCs w:val="22"/>
              </w:rPr>
              <w:t>)</w:t>
            </w:r>
            <w:r w:rsidR="002557FB" w:rsidRPr="00EC5F8B">
              <w:rPr>
                <w:rFonts w:cs="Arial"/>
                <w:sz w:val="22"/>
                <w:szCs w:val="22"/>
              </w:rPr>
              <w:t>*</w:t>
            </w:r>
          </w:p>
        </w:tc>
        <w:tc>
          <w:tcPr>
            <w:tcW w:w="2631" w:type="dxa"/>
            <w:shd w:val="clear" w:color="auto" w:fill="auto"/>
            <w:vAlign w:val="center"/>
          </w:tcPr>
          <w:p w:rsidR="006C48B0" w:rsidRPr="00EC5F8B" w:rsidRDefault="006C48B0" w:rsidP="006C48B0">
            <w:pPr>
              <w:autoSpaceDE w:val="0"/>
              <w:jc w:val="both"/>
              <w:rPr>
                <w:rFonts w:cs="Arial"/>
                <w:sz w:val="22"/>
                <w:szCs w:val="22"/>
              </w:rPr>
            </w:pPr>
            <w:r w:rsidRPr="00EC5F8B">
              <w:rPr>
                <w:rFonts w:cs="Arial"/>
                <w:sz w:val="22"/>
                <w:szCs w:val="22"/>
              </w:rPr>
              <w:t>Заверенная копия «Отчета о прибылях и убытках» (за последние 3 года – 2013,2014,2015 гг)</w:t>
            </w:r>
          </w:p>
        </w:tc>
        <w:tc>
          <w:tcPr>
            <w:tcW w:w="1983" w:type="dxa"/>
            <w:shd w:val="clear" w:color="000000" w:fill="FFFFFF"/>
            <w:vAlign w:val="center"/>
          </w:tcPr>
          <w:p w:rsidR="006C48B0" w:rsidRPr="00EC5F8B" w:rsidRDefault="006C48B0" w:rsidP="00B8471C">
            <w:pPr>
              <w:rPr>
                <w:rFonts w:cs="Arial"/>
                <w:sz w:val="22"/>
                <w:szCs w:val="22"/>
              </w:rPr>
            </w:pPr>
            <w:r w:rsidRPr="00EC5F8B">
              <w:rPr>
                <w:rFonts w:cs="Arial"/>
                <w:sz w:val="22"/>
                <w:szCs w:val="22"/>
              </w:rPr>
              <w:t>Соответствует/ Не соответствует</w:t>
            </w:r>
          </w:p>
          <w:p w:rsidR="006C48B0" w:rsidRPr="00EC5F8B" w:rsidRDefault="006C48B0" w:rsidP="00B8471C">
            <w:pPr>
              <w:rPr>
                <w:rFonts w:cs="Arial"/>
                <w:sz w:val="22"/>
                <w:szCs w:val="22"/>
              </w:rPr>
            </w:pP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800 млн. руб. без НДС и более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6</w:t>
            </w:r>
          </w:p>
        </w:tc>
        <w:tc>
          <w:tcPr>
            <w:tcW w:w="2730" w:type="dxa"/>
            <w:shd w:val="clear" w:color="auto" w:fill="auto"/>
            <w:vAlign w:val="center"/>
          </w:tcPr>
          <w:p w:rsidR="006C48B0" w:rsidRPr="00EC5F8B" w:rsidRDefault="006C48B0" w:rsidP="00DF0B0E">
            <w:pPr>
              <w:autoSpaceDE w:val="0"/>
              <w:jc w:val="both"/>
              <w:rPr>
                <w:rFonts w:cs="Arial"/>
                <w:sz w:val="22"/>
                <w:szCs w:val="22"/>
              </w:rPr>
            </w:pPr>
            <w:r w:rsidRPr="00EC5F8B">
              <w:rPr>
                <w:rFonts w:cs="Arial"/>
                <w:sz w:val="22"/>
                <w:szCs w:val="22"/>
              </w:rPr>
              <w:t xml:space="preserve">Среднегодовой оборот по СМР за последние 3 года (2013, 2014, 2015 гг), не менее </w:t>
            </w:r>
            <w:r w:rsidR="00DF0B0E" w:rsidRPr="00EC5F8B">
              <w:rPr>
                <w:rFonts w:cs="Arial"/>
                <w:sz w:val="22"/>
                <w:szCs w:val="22"/>
              </w:rPr>
              <w:t>40</w:t>
            </w:r>
            <w:r w:rsidRPr="00EC5F8B">
              <w:rPr>
                <w:rFonts w:cs="Arial"/>
                <w:sz w:val="22"/>
                <w:szCs w:val="22"/>
              </w:rPr>
              <w:t>0 млн. руб. без НДС</w:t>
            </w:r>
            <w:r w:rsidR="00DF0B0E" w:rsidRPr="00EC5F8B">
              <w:rPr>
                <w:rFonts w:cs="Arial"/>
                <w:sz w:val="22"/>
                <w:szCs w:val="22"/>
              </w:rPr>
              <w:t xml:space="preserve"> (</w:t>
            </w:r>
            <w:r w:rsidR="00DF0B0E" w:rsidRPr="00EC5F8B">
              <w:rPr>
                <w:rFonts w:cs="Arial"/>
                <w:b/>
                <w:sz w:val="22"/>
                <w:szCs w:val="22"/>
              </w:rPr>
              <w:t>Для Лота №2</w:t>
            </w:r>
            <w:r w:rsidR="00DF0B0E" w:rsidRPr="00EC5F8B">
              <w:rPr>
                <w:rFonts w:cs="Arial"/>
                <w:sz w:val="22"/>
                <w:szCs w:val="22"/>
              </w:rPr>
              <w:t>)</w:t>
            </w:r>
            <w:r w:rsidR="002557FB" w:rsidRPr="00EC5F8B">
              <w:rPr>
                <w:rFonts w:cs="Arial"/>
                <w:sz w:val="22"/>
                <w:szCs w:val="22"/>
              </w:rPr>
              <w:t>*</w:t>
            </w:r>
          </w:p>
        </w:tc>
        <w:tc>
          <w:tcPr>
            <w:tcW w:w="2631" w:type="dxa"/>
            <w:shd w:val="clear" w:color="auto" w:fill="auto"/>
            <w:vAlign w:val="center"/>
          </w:tcPr>
          <w:p w:rsidR="006C48B0" w:rsidRPr="00EC5F8B" w:rsidRDefault="006C48B0" w:rsidP="006C48B0">
            <w:pPr>
              <w:autoSpaceDE w:val="0"/>
              <w:jc w:val="both"/>
              <w:rPr>
                <w:rFonts w:cs="Arial"/>
                <w:sz w:val="22"/>
                <w:szCs w:val="22"/>
              </w:rPr>
            </w:pPr>
            <w:r w:rsidRPr="00EC5F8B">
              <w:rPr>
                <w:rFonts w:cs="Arial"/>
                <w:sz w:val="22"/>
                <w:szCs w:val="22"/>
              </w:rPr>
              <w:t>Заверенная копия «Отчета о прибылях и убытках» (за последние 3 года – 2013,2014,2015 гг)</w:t>
            </w:r>
          </w:p>
        </w:tc>
        <w:tc>
          <w:tcPr>
            <w:tcW w:w="1983"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Соответствует/ Не соответствует</w:t>
            </w:r>
          </w:p>
          <w:p w:rsidR="006C48B0" w:rsidRPr="00EC5F8B" w:rsidRDefault="006C48B0" w:rsidP="008C3BD3">
            <w:pPr>
              <w:rPr>
                <w:rFonts w:cs="Arial"/>
                <w:sz w:val="22"/>
                <w:szCs w:val="22"/>
              </w:rPr>
            </w:pPr>
          </w:p>
        </w:tc>
        <w:tc>
          <w:tcPr>
            <w:tcW w:w="2337" w:type="dxa"/>
            <w:shd w:val="clear" w:color="000000" w:fill="FFFFFF"/>
            <w:vAlign w:val="center"/>
          </w:tcPr>
          <w:p w:rsidR="006C48B0" w:rsidRPr="00EC5F8B" w:rsidRDefault="00DF0B0E" w:rsidP="008C3BD3">
            <w:pPr>
              <w:rPr>
                <w:rFonts w:cs="Arial"/>
                <w:sz w:val="22"/>
                <w:szCs w:val="22"/>
              </w:rPr>
            </w:pPr>
            <w:r w:rsidRPr="00EC5F8B">
              <w:rPr>
                <w:rFonts w:cs="Arial"/>
                <w:sz w:val="22"/>
                <w:szCs w:val="22"/>
              </w:rPr>
              <w:t>40</w:t>
            </w:r>
            <w:r w:rsidR="006C48B0" w:rsidRPr="00EC5F8B">
              <w:rPr>
                <w:rFonts w:cs="Arial"/>
                <w:sz w:val="22"/>
                <w:szCs w:val="22"/>
              </w:rPr>
              <w:t>0 млн. руб. без НДС и более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7</w:t>
            </w:r>
          </w:p>
        </w:tc>
        <w:tc>
          <w:tcPr>
            <w:tcW w:w="2730" w:type="dxa"/>
            <w:shd w:val="clear" w:color="auto" w:fill="auto"/>
            <w:vAlign w:val="center"/>
          </w:tcPr>
          <w:p w:rsidR="006C48B0" w:rsidRPr="00EC5F8B" w:rsidRDefault="006C48B0" w:rsidP="00E65423">
            <w:pPr>
              <w:rPr>
                <w:rFonts w:cs="Arial"/>
                <w:b/>
                <w:sz w:val="22"/>
                <w:szCs w:val="22"/>
              </w:rPr>
            </w:pPr>
            <w:r w:rsidRPr="00EC5F8B">
              <w:rPr>
                <w:rFonts w:cs="Arial"/>
                <w:sz w:val="22"/>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6C48B0" w:rsidRPr="00EC5F8B" w:rsidRDefault="006C48B0" w:rsidP="00A627EA">
            <w:pPr>
              <w:jc w:val="both"/>
              <w:rPr>
                <w:rFonts w:cs="Arial"/>
                <w:sz w:val="22"/>
                <w:szCs w:val="22"/>
              </w:rPr>
            </w:pPr>
            <w:r w:rsidRPr="00EC5F8B">
              <w:rPr>
                <w:rFonts w:cs="Arial"/>
                <w:sz w:val="22"/>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8</w:t>
            </w:r>
          </w:p>
        </w:tc>
        <w:tc>
          <w:tcPr>
            <w:tcW w:w="2730" w:type="dxa"/>
            <w:shd w:val="clear" w:color="auto" w:fill="auto"/>
            <w:vAlign w:val="center"/>
          </w:tcPr>
          <w:p w:rsidR="006C48B0" w:rsidRPr="00EC5F8B" w:rsidRDefault="006C48B0" w:rsidP="00821759">
            <w:pPr>
              <w:autoSpaceDE w:val="0"/>
              <w:jc w:val="both"/>
              <w:rPr>
                <w:rFonts w:cs="Arial"/>
                <w:sz w:val="22"/>
                <w:szCs w:val="22"/>
              </w:rPr>
            </w:pPr>
            <w:r w:rsidRPr="00EC5F8B">
              <w:rPr>
                <w:sz w:val="22"/>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31" w:type="dxa"/>
            <w:shd w:val="clear" w:color="auto" w:fill="auto"/>
            <w:vAlign w:val="center"/>
          </w:tcPr>
          <w:p w:rsidR="006C48B0" w:rsidRPr="00EC5F8B" w:rsidRDefault="006C48B0" w:rsidP="00821759">
            <w:pPr>
              <w:rPr>
                <w:rFonts w:cs="Arial"/>
                <w:sz w:val="22"/>
                <w:szCs w:val="22"/>
              </w:rPr>
            </w:pPr>
            <w:r w:rsidRPr="00EC5F8B">
              <w:rPr>
                <w:sz w:val="22"/>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983" w:type="dxa"/>
            <w:shd w:val="clear" w:color="000000" w:fill="FFFFFF"/>
            <w:vAlign w:val="center"/>
          </w:tcPr>
          <w:p w:rsidR="006C48B0" w:rsidRPr="00EC5F8B" w:rsidRDefault="006C48B0" w:rsidP="00821759">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821759">
            <w:pPr>
              <w:rPr>
                <w:rFonts w:cs="Arial"/>
                <w:sz w:val="22"/>
                <w:szCs w:val="22"/>
              </w:rPr>
            </w:pPr>
            <w:r w:rsidRPr="00EC5F8B">
              <w:rPr>
                <w:rFonts w:cs="Arial"/>
                <w:sz w:val="22"/>
                <w:szCs w:val="22"/>
              </w:rPr>
              <w:t>Отсутствие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9</w:t>
            </w:r>
          </w:p>
        </w:tc>
        <w:tc>
          <w:tcPr>
            <w:tcW w:w="2730" w:type="dxa"/>
            <w:shd w:val="clear" w:color="auto" w:fill="auto"/>
            <w:vAlign w:val="center"/>
          </w:tcPr>
          <w:p w:rsidR="006C48B0" w:rsidRPr="00EC5F8B" w:rsidRDefault="006C48B0" w:rsidP="00E65423">
            <w:pPr>
              <w:autoSpaceDE w:val="0"/>
              <w:jc w:val="both"/>
              <w:rPr>
                <w:rFonts w:cs="Arial"/>
                <w:sz w:val="22"/>
                <w:szCs w:val="22"/>
              </w:rPr>
            </w:pPr>
            <w:r w:rsidRPr="00EC5F8B">
              <w:rPr>
                <w:rFonts w:cs="Arial"/>
                <w:sz w:val="22"/>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83" w:type="dxa"/>
            <w:shd w:val="clear" w:color="000000" w:fill="FFFFFF"/>
            <w:vAlign w:val="center"/>
          </w:tcPr>
          <w:p w:rsidR="006C48B0" w:rsidRPr="00EC5F8B" w:rsidRDefault="006C48B0" w:rsidP="00AE0676">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Отсутствие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10</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11</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 xml:space="preserve">Наличие сертифицированной системы менеджмента качества. Область сертификации должна соответствовать видам выполняемых работ по предмету закупки </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Заверенная копия свидетельства системы менеджмента качества ISO 9001, ИСО 9001</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Наличие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12</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Наличие сертифицированной системы управления охраной труда</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Заверенная копия свидетельства ISO 14001:2004, OHSAS 18001:2007</w:t>
            </w:r>
          </w:p>
        </w:tc>
        <w:tc>
          <w:tcPr>
            <w:tcW w:w="1983"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Наличие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13</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Наличие  деклараций соответствия на вновь смонтированные 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Заверенная копия декларации соответствия требованиям технического регламента Таможенного союза «О безопасности оборудования, работающего под избыточным давлением (ТР ТС 032/2013)</w:t>
            </w:r>
          </w:p>
        </w:tc>
        <w:tc>
          <w:tcPr>
            <w:tcW w:w="1983"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Наличие</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14</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Плановая стоимость работ (по оценке Заказчика)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Соответствует/ Не соответствует</w:t>
            </w:r>
          </w:p>
          <w:p w:rsidR="006C48B0" w:rsidRPr="00EC5F8B" w:rsidRDefault="006C48B0" w:rsidP="00E65423">
            <w:pPr>
              <w:rPr>
                <w:rFonts w:cs="Arial"/>
                <w:sz w:val="22"/>
                <w:szCs w:val="22"/>
              </w:rPr>
            </w:pPr>
          </w:p>
        </w:tc>
        <w:tc>
          <w:tcPr>
            <w:tcW w:w="2337" w:type="dxa"/>
            <w:shd w:val="clear" w:color="000000" w:fill="FFFFFF"/>
            <w:vAlign w:val="center"/>
          </w:tcPr>
          <w:p w:rsidR="006C48B0" w:rsidRPr="00EC5F8B" w:rsidRDefault="006C48B0" w:rsidP="006A0DAC">
            <w:pPr>
              <w:jc w:val="center"/>
              <w:rPr>
                <w:sz w:val="22"/>
                <w:szCs w:val="22"/>
              </w:rPr>
            </w:pPr>
            <w:r w:rsidRPr="00EC5F8B">
              <w:rPr>
                <w:sz w:val="22"/>
                <w:szCs w:val="22"/>
              </w:rPr>
              <w:t xml:space="preserve">V1-V2&gt; </w:t>
            </w:r>
            <w:r w:rsidRPr="00EC5F8B">
              <w:rPr>
                <w:sz w:val="22"/>
                <w:szCs w:val="22"/>
                <w:lang w:val="en-US"/>
              </w:rPr>
              <w:t>V</w:t>
            </w:r>
            <w:r w:rsidRPr="00EC5F8B">
              <w:rPr>
                <w:sz w:val="22"/>
                <w:szCs w:val="22"/>
              </w:rPr>
              <w:t>3</w:t>
            </w:r>
          </w:p>
          <w:p w:rsidR="006C48B0" w:rsidRPr="00EC5F8B" w:rsidRDefault="006C48B0" w:rsidP="006A0DAC">
            <w:pPr>
              <w:jc w:val="center"/>
              <w:rPr>
                <w:sz w:val="22"/>
                <w:szCs w:val="22"/>
              </w:rPr>
            </w:pPr>
            <w:r w:rsidRPr="00EC5F8B">
              <w:rPr>
                <w:sz w:val="22"/>
                <w:szCs w:val="22"/>
              </w:rPr>
              <w:t>V1 -  2х кратный среднегодовой объем работ выполненных за последние 3 года, руб. без НДС;</w:t>
            </w:r>
          </w:p>
          <w:p w:rsidR="006C48B0" w:rsidRPr="00EC5F8B" w:rsidRDefault="006C48B0" w:rsidP="006A0DAC">
            <w:pPr>
              <w:rPr>
                <w:sz w:val="22"/>
                <w:szCs w:val="22"/>
              </w:rPr>
            </w:pPr>
            <w:r w:rsidRPr="00EC5F8B">
              <w:rPr>
                <w:sz w:val="22"/>
                <w:szCs w:val="22"/>
              </w:rPr>
              <w:t>V2 - объем обязательств, руб. без НДС.</w:t>
            </w:r>
          </w:p>
          <w:p w:rsidR="006C48B0" w:rsidRPr="00EC5F8B" w:rsidRDefault="006C48B0" w:rsidP="006A0DAC">
            <w:pPr>
              <w:rPr>
                <w:rFonts w:cs="Arial"/>
                <w:sz w:val="22"/>
                <w:szCs w:val="22"/>
              </w:rPr>
            </w:pPr>
            <w:r w:rsidRPr="00EC5F8B">
              <w:rPr>
                <w:sz w:val="22"/>
                <w:szCs w:val="22"/>
                <w:lang w:val="en-US"/>
              </w:rPr>
              <w:t>V</w:t>
            </w:r>
            <w:r w:rsidRPr="00EC5F8B">
              <w:rPr>
                <w:sz w:val="22"/>
                <w:szCs w:val="22"/>
              </w:rPr>
              <w:t>3 – плановая стоимость работ/услуг по предмету закупки (согласно заявки)</w:t>
            </w:r>
          </w:p>
        </w:tc>
      </w:tr>
      <w:tr w:rsidR="006C48B0" w:rsidRPr="00EC5F8B" w:rsidTr="00F85421">
        <w:trPr>
          <w:trHeight w:val="196"/>
        </w:trPr>
        <w:tc>
          <w:tcPr>
            <w:tcW w:w="582" w:type="dxa"/>
            <w:shd w:val="clear" w:color="auto" w:fill="auto"/>
            <w:noWrap/>
            <w:vAlign w:val="center"/>
          </w:tcPr>
          <w:p w:rsidR="006C48B0" w:rsidRPr="00EC5F8B" w:rsidRDefault="006C48B0" w:rsidP="00F06FE6">
            <w:pPr>
              <w:rPr>
                <w:rFonts w:cs="Arial"/>
                <w:sz w:val="22"/>
                <w:szCs w:val="22"/>
              </w:rPr>
            </w:pPr>
            <w:r w:rsidRPr="00EC5F8B">
              <w:rPr>
                <w:rFonts w:cs="Arial"/>
                <w:sz w:val="22"/>
                <w:szCs w:val="22"/>
              </w:rPr>
              <w:t>15</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983"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Да/нет</w:t>
            </w:r>
          </w:p>
        </w:tc>
        <w:tc>
          <w:tcPr>
            <w:tcW w:w="2337" w:type="dxa"/>
            <w:shd w:val="clear" w:color="000000" w:fill="FFFFFF"/>
            <w:vAlign w:val="center"/>
          </w:tcPr>
          <w:p w:rsidR="006C48B0" w:rsidRPr="00EC5F8B" w:rsidRDefault="006C48B0" w:rsidP="00E65423">
            <w:pPr>
              <w:rPr>
                <w:rFonts w:cs="Arial"/>
                <w:sz w:val="22"/>
                <w:szCs w:val="22"/>
              </w:rPr>
            </w:pPr>
            <w:r w:rsidRPr="00EC5F8B">
              <w:rPr>
                <w:rFonts w:cs="Arial"/>
                <w:sz w:val="22"/>
                <w:szCs w:val="22"/>
              </w:rPr>
              <w:t>Да</w:t>
            </w:r>
          </w:p>
        </w:tc>
      </w:tr>
      <w:tr w:rsidR="006C48B0" w:rsidRPr="00EC5F8B" w:rsidTr="00F85421">
        <w:trPr>
          <w:trHeight w:val="196"/>
        </w:trPr>
        <w:tc>
          <w:tcPr>
            <w:tcW w:w="582" w:type="dxa"/>
            <w:shd w:val="clear" w:color="auto" w:fill="auto"/>
            <w:noWrap/>
            <w:vAlign w:val="center"/>
          </w:tcPr>
          <w:p w:rsidR="006C48B0" w:rsidRPr="00EC5F8B" w:rsidRDefault="00DF0B0E" w:rsidP="00F85421">
            <w:pPr>
              <w:rPr>
                <w:rFonts w:cs="Arial"/>
                <w:sz w:val="22"/>
                <w:szCs w:val="22"/>
              </w:rPr>
            </w:pPr>
            <w:r w:rsidRPr="00EC5F8B">
              <w:rPr>
                <w:rFonts w:cs="Arial"/>
                <w:sz w:val="22"/>
                <w:szCs w:val="22"/>
              </w:rPr>
              <w:t>16</w:t>
            </w:r>
          </w:p>
        </w:tc>
        <w:tc>
          <w:tcPr>
            <w:tcW w:w="2730" w:type="dxa"/>
            <w:shd w:val="clear" w:color="auto" w:fill="auto"/>
            <w:vAlign w:val="center"/>
          </w:tcPr>
          <w:p w:rsidR="006C48B0" w:rsidRPr="00EC5F8B" w:rsidRDefault="006C48B0" w:rsidP="00E65423">
            <w:pPr>
              <w:rPr>
                <w:rFonts w:cs="Arial"/>
                <w:sz w:val="22"/>
                <w:szCs w:val="22"/>
              </w:rPr>
            </w:pPr>
            <w:r w:rsidRPr="00EC5F8B">
              <w:rPr>
                <w:rFonts w:cs="Arial"/>
                <w:sz w:val="22"/>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2631" w:type="dxa"/>
            <w:shd w:val="clear" w:color="auto" w:fill="auto"/>
            <w:vAlign w:val="center"/>
          </w:tcPr>
          <w:p w:rsidR="006C48B0" w:rsidRPr="00EC5F8B" w:rsidRDefault="006C48B0" w:rsidP="00E65423">
            <w:pPr>
              <w:rPr>
                <w:rFonts w:cs="Arial"/>
                <w:sz w:val="22"/>
                <w:szCs w:val="22"/>
              </w:rPr>
            </w:pPr>
            <w:r w:rsidRPr="00EC5F8B">
              <w:rPr>
                <w:rFonts w:cs="Arial"/>
                <w:sz w:val="22"/>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983"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Наличие/отсутствие</w:t>
            </w:r>
          </w:p>
        </w:tc>
        <w:tc>
          <w:tcPr>
            <w:tcW w:w="2337" w:type="dxa"/>
            <w:shd w:val="clear" w:color="000000" w:fill="FFFFFF"/>
            <w:vAlign w:val="center"/>
          </w:tcPr>
          <w:p w:rsidR="006C48B0" w:rsidRPr="00EC5F8B" w:rsidRDefault="006C48B0" w:rsidP="008C3BD3">
            <w:pPr>
              <w:rPr>
                <w:rFonts w:cs="Arial"/>
                <w:sz w:val="22"/>
                <w:szCs w:val="22"/>
              </w:rPr>
            </w:pPr>
            <w:r w:rsidRPr="00EC5F8B">
              <w:rPr>
                <w:rFonts w:cs="Arial"/>
                <w:sz w:val="22"/>
                <w:szCs w:val="22"/>
              </w:rPr>
              <w:t>Отсутствие</w:t>
            </w:r>
          </w:p>
        </w:tc>
      </w:tr>
      <w:tr w:rsidR="004D3208" w:rsidRPr="00EC5F8B" w:rsidTr="00F06FE6">
        <w:trPr>
          <w:trHeight w:val="196"/>
        </w:trPr>
        <w:tc>
          <w:tcPr>
            <w:tcW w:w="582" w:type="dxa"/>
            <w:shd w:val="clear" w:color="auto" w:fill="auto"/>
            <w:noWrap/>
            <w:vAlign w:val="center"/>
          </w:tcPr>
          <w:p w:rsidR="004D3208" w:rsidRPr="00EC5F8B" w:rsidRDefault="004D3208" w:rsidP="00F85421">
            <w:pPr>
              <w:rPr>
                <w:rFonts w:cs="Arial"/>
                <w:sz w:val="22"/>
                <w:szCs w:val="22"/>
              </w:rPr>
            </w:pPr>
            <w:r w:rsidRPr="00EC5F8B">
              <w:rPr>
                <w:rFonts w:cs="Arial"/>
                <w:sz w:val="22"/>
                <w:szCs w:val="22"/>
              </w:rPr>
              <w:t>17</w:t>
            </w:r>
          </w:p>
        </w:tc>
        <w:tc>
          <w:tcPr>
            <w:tcW w:w="2730" w:type="dxa"/>
            <w:shd w:val="clear" w:color="auto" w:fill="auto"/>
          </w:tcPr>
          <w:p w:rsidR="004D3208" w:rsidRPr="00EC5F8B" w:rsidRDefault="004D3208">
            <w:pPr>
              <w:jc w:val="both"/>
              <w:rPr>
                <w:rFonts w:cs="Arial"/>
                <w:sz w:val="22"/>
                <w:szCs w:val="22"/>
              </w:rPr>
            </w:pPr>
            <w:r w:rsidRPr="00EC5F8B">
              <w:rPr>
                <w:rFonts w:cs="Arial"/>
                <w:sz w:val="22"/>
                <w:szCs w:val="22"/>
              </w:rPr>
              <w:t>Предоставление схемы расстановки кранов ("Сройгенплан") с указанием технических характеристик применяемых кранов</w:t>
            </w:r>
          </w:p>
        </w:tc>
        <w:tc>
          <w:tcPr>
            <w:tcW w:w="2631" w:type="dxa"/>
            <w:shd w:val="clear" w:color="auto" w:fill="auto"/>
          </w:tcPr>
          <w:p w:rsidR="004D3208" w:rsidRPr="00EC5F8B" w:rsidRDefault="004D3208">
            <w:pPr>
              <w:jc w:val="both"/>
              <w:rPr>
                <w:rFonts w:cs="Arial"/>
                <w:sz w:val="22"/>
                <w:szCs w:val="22"/>
              </w:rPr>
            </w:pPr>
            <w:r w:rsidRPr="00EC5F8B">
              <w:rPr>
                <w:rFonts w:cs="Arial"/>
                <w:sz w:val="22"/>
                <w:szCs w:val="22"/>
              </w:rPr>
              <w:t>Предоставление в составе оферы для проверки соответствия грузоподъёмности применяемых кранов и массы монтируемого оборудования</w:t>
            </w:r>
          </w:p>
        </w:tc>
        <w:tc>
          <w:tcPr>
            <w:tcW w:w="1983" w:type="dxa"/>
            <w:shd w:val="clear" w:color="000000" w:fill="FFFFFF"/>
            <w:vAlign w:val="center"/>
          </w:tcPr>
          <w:p w:rsidR="004D3208" w:rsidRPr="00EC5F8B" w:rsidRDefault="004D3208">
            <w:pPr>
              <w:jc w:val="center"/>
              <w:rPr>
                <w:rFonts w:cs="Arial"/>
                <w:sz w:val="22"/>
                <w:szCs w:val="22"/>
              </w:rPr>
            </w:pPr>
            <w:r w:rsidRPr="00EC5F8B">
              <w:rPr>
                <w:rFonts w:cs="Arial"/>
                <w:sz w:val="22"/>
                <w:szCs w:val="22"/>
              </w:rPr>
              <w:t>да/нет</w:t>
            </w:r>
          </w:p>
        </w:tc>
        <w:tc>
          <w:tcPr>
            <w:tcW w:w="2337" w:type="dxa"/>
            <w:shd w:val="clear" w:color="000000" w:fill="FFFFFF"/>
            <w:vAlign w:val="center"/>
          </w:tcPr>
          <w:p w:rsidR="004D3208" w:rsidRPr="00EC5F8B" w:rsidRDefault="004D3208">
            <w:pPr>
              <w:jc w:val="center"/>
              <w:rPr>
                <w:rFonts w:cs="Arial"/>
                <w:sz w:val="22"/>
                <w:szCs w:val="22"/>
              </w:rPr>
            </w:pPr>
            <w:r w:rsidRPr="00EC5F8B">
              <w:rPr>
                <w:rFonts w:cs="Arial"/>
                <w:sz w:val="22"/>
                <w:szCs w:val="22"/>
              </w:rPr>
              <w:t>да</w:t>
            </w:r>
          </w:p>
        </w:tc>
      </w:tr>
    </w:tbl>
    <w:p w:rsidR="002557FB" w:rsidRPr="002557FB" w:rsidRDefault="002557FB" w:rsidP="00E526D7">
      <w:pPr>
        <w:autoSpaceDE w:val="0"/>
        <w:autoSpaceDN w:val="0"/>
        <w:adjustRightInd w:val="0"/>
        <w:spacing w:before="180"/>
        <w:jc w:val="both"/>
        <w:rPr>
          <w:iCs/>
        </w:rPr>
      </w:pPr>
      <w:r w:rsidRPr="002557FB">
        <w:rPr>
          <w:iCs/>
        </w:rPr>
        <w:t>* - допускается отклонение от установленного уровня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A65859" w:rsidRPr="00686EF3" w:rsidRDefault="00A65859" w:rsidP="00A65859">
      <w:pPr>
        <w:pStyle w:val="af3"/>
        <w:suppressAutoHyphens/>
        <w:ind w:firstLine="709"/>
      </w:pPr>
      <w:r w:rsidRPr="00686EF3">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A65859" w:rsidP="00A65859">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14302C">
      <w:pgSz w:w="11907" w:h="16840" w:code="9"/>
      <w:pgMar w:top="567"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FE6" w:rsidRDefault="00F06FE6">
      <w:r>
        <w:separator/>
      </w:r>
    </w:p>
  </w:endnote>
  <w:endnote w:type="continuationSeparator" w:id="0">
    <w:p w:rsidR="00F06FE6" w:rsidRDefault="00F0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E6" w:rsidRDefault="00F06FE6">
    <w:pPr>
      <w:pStyle w:val="aa"/>
      <w:jc w:val="right"/>
    </w:pPr>
    <w:r>
      <w:fldChar w:fldCharType="begin"/>
    </w:r>
    <w:r>
      <w:instrText xml:space="preserve"> PAGE   \* MERGEFORMAT </w:instrText>
    </w:r>
    <w:r>
      <w:fldChar w:fldCharType="separate"/>
    </w:r>
    <w:r w:rsidR="00770EE8">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FE6" w:rsidRDefault="00F06FE6">
      <w:r>
        <w:separator/>
      </w:r>
    </w:p>
  </w:footnote>
  <w:footnote w:type="continuationSeparator" w:id="0">
    <w:p w:rsidR="00F06FE6" w:rsidRDefault="00F06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5454A7A"/>
    <w:multiLevelType w:val="multilevel"/>
    <w:tmpl w:val="005ABB58"/>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3"/>
  </w:num>
  <w:num w:numId="15">
    <w:abstractNumId w:val="22"/>
  </w:num>
  <w:num w:numId="16">
    <w:abstractNumId w:val="37"/>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1"/>
  </w:num>
  <w:num w:numId="30">
    <w:abstractNumId w:val="18"/>
  </w:num>
  <w:num w:numId="31">
    <w:abstractNumId w:val="32"/>
  </w:num>
  <w:num w:numId="32">
    <w:abstractNumId w:val="8"/>
  </w:num>
  <w:num w:numId="33">
    <w:abstractNumId w:val="10"/>
  </w:num>
  <w:num w:numId="34">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0A6"/>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7FB"/>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894"/>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370E"/>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3C4"/>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208"/>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76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3C7F"/>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8B0"/>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2579"/>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0EE8"/>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094B"/>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BD3"/>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25911"/>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5859"/>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0B0E"/>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77C56"/>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2CFA"/>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5F8B"/>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6FE6"/>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2D9"/>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7D3BC0B9-19BE-4FEA-ADBB-79958FBA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anos.slavneft.ru/files/proektyi_vor_636090078875035243.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0BCC2-3E4B-4144-8AAE-89004A65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4995</Words>
  <Characters>28475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33404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2016-09-09T05:47:00Z</cp:lastPrinted>
  <dcterms:created xsi:type="dcterms:W3CDTF">2016-09-09T05:49:00Z</dcterms:created>
  <dcterms:modified xsi:type="dcterms:W3CDTF">2016-09-09T05:49:00Z</dcterms:modified>
</cp:coreProperties>
</file>