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A74991">
      <w:pPr>
        <w:ind w:left="4956" w:firstLine="708"/>
        <w:jc w:val="right"/>
        <w:rPr>
          <w:b/>
          <w:bCs/>
        </w:rPr>
      </w:pPr>
      <w:r>
        <w:rPr>
          <w:b/>
          <w:bCs/>
        </w:rPr>
        <w:t>Пр</w:t>
      </w:r>
      <w:bookmarkStart w:id="0" w:name="_GoBack"/>
      <w:bookmarkEnd w:id="0"/>
      <w:r>
        <w:rPr>
          <w:b/>
          <w:bCs/>
        </w:rPr>
        <w:t xml:space="preserve">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3C7E5E">
        <w:t>416</w:t>
      </w:r>
      <w:r w:rsidR="001A0F08">
        <w:t>-</w:t>
      </w:r>
      <w:r w:rsidR="00234D4F">
        <w:t>КС-</w:t>
      </w:r>
      <w:r w:rsidR="00CD5D52" w:rsidRPr="00CD5D52">
        <w:t>201</w:t>
      </w:r>
      <w:r w:rsidR="001018D4">
        <w:t>6</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A804D2" w:rsidRDefault="001E2DD9" w:rsidP="0017700F">
      <w:pPr>
        <w:autoSpaceDE w:val="0"/>
        <w:autoSpaceDN w:val="0"/>
        <w:adjustRightInd w:val="0"/>
        <w:spacing w:before="60"/>
        <w:jc w:val="both"/>
      </w:pPr>
      <w:r>
        <w:t>1. Изучив условия предложения делать оферты №</w:t>
      </w:r>
      <w:r w:rsidR="003C7E5E">
        <w:t>416</w:t>
      </w:r>
      <w:r w:rsidR="00CD5D52" w:rsidRPr="00CD5D52">
        <w:t>-КС-201</w:t>
      </w:r>
      <w:r w:rsidR="001018D4">
        <w:t>6</w:t>
      </w:r>
      <w:r w:rsidR="00026FB9">
        <w:t xml:space="preserve"> </w:t>
      </w:r>
      <w:r w:rsidR="00546D76">
        <w:t xml:space="preserve">от </w:t>
      </w:r>
      <w:r w:rsidR="00705E95">
        <w:t>02.11</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A804D2">
        <w:t>.</w:t>
      </w:r>
      <w:r>
        <w:t xml:space="preserve"> </w:t>
      </w:r>
    </w:p>
    <w:p w:rsidR="00A804D2" w:rsidRDefault="00A804D2" w:rsidP="00A74991">
      <w:pPr>
        <w:autoSpaceDE w:val="0"/>
        <w:autoSpaceDN w:val="0"/>
        <w:adjustRightInd w:val="0"/>
        <w:spacing w:before="60"/>
        <w:ind w:firstLine="709"/>
        <w:jc w:val="both"/>
      </w:pPr>
      <w:r w:rsidRPr="00F31A21">
        <w:rPr>
          <w:sz w:val="22"/>
          <w:szCs w:val="22"/>
        </w:rPr>
        <w:t xml:space="preserve">В случае полного или частичного </w:t>
      </w:r>
      <w:r>
        <w:rPr>
          <w:sz w:val="22"/>
          <w:szCs w:val="22"/>
        </w:rPr>
        <w:t>отзыва</w:t>
      </w:r>
      <w:r w:rsidRPr="00F31A21">
        <w:rPr>
          <w:sz w:val="22"/>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E2DD9" w:rsidRDefault="00A804D2" w:rsidP="0017700F">
      <w:pPr>
        <w:autoSpaceDE w:val="0"/>
        <w:autoSpaceDN w:val="0"/>
        <w:adjustRightInd w:val="0"/>
        <w:spacing w:before="60"/>
        <w:jc w:val="both"/>
      </w:pPr>
      <w:r>
        <w:t>2. В</w:t>
      </w:r>
      <w:r w:rsidR="001E2DD9">
        <w:t xml:space="preserve"> случае принятия нашей Оферты, заключить с ОАО </w:t>
      </w:r>
      <w:r w:rsidR="00EF378A">
        <w:t>«</w:t>
      </w:r>
      <w:r w:rsidR="001E2DD9">
        <w:t>Славнефть-ЯНОС</w:t>
      </w:r>
      <w:r w:rsidR="00EF378A">
        <w:t>»</w:t>
      </w:r>
      <w:r w:rsidR="001E2DD9">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 xml:space="preserve">работ </w:t>
      </w:r>
      <w:r w:rsidR="003C7E5E" w:rsidRPr="00250D00">
        <w:rPr>
          <w:b/>
        </w:rPr>
        <w:t xml:space="preserve">по </w:t>
      </w:r>
      <w:r w:rsidR="003C7E5E" w:rsidRPr="006A4DD8">
        <w:rPr>
          <w:b/>
        </w:rPr>
        <w:t>Модернизаци</w:t>
      </w:r>
      <w:r w:rsidR="003C7E5E">
        <w:rPr>
          <w:b/>
        </w:rPr>
        <w:t>и</w:t>
      </w:r>
      <w:r w:rsidR="003C7E5E" w:rsidRPr="006A4DD8">
        <w:rPr>
          <w:b/>
        </w:rPr>
        <w:t xml:space="preserve"> </w:t>
      </w:r>
      <w:r w:rsidR="003C7E5E" w:rsidRPr="006322E7">
        <w:rPr>
          <w:b/>
        </w:rPr>
        <w:t>проходной 10А</w:t>
      </w:r>
      <w:r w:rsidR="00AB3D79" w:rsidRPr="00272CE5">
        <w:rPr>
          <w:b/>
        </w:rPr>
        <w:t>»</w:t>
      </w:r>
      <w:r w:rsidR="00AB3D79">
        <w:t xml:space="preserve">, </w:t>
      </w:r>
      <w:r w:rsidR="00EA376C">
        <w:t xml:space="preserve">на условиях </w:t>
      </w:r>
      <w:r w:rsidR="00091D43">
        <w:t>указанн</w:t>
      </w:r>
      <w:r w:rsidR="00EA376C">
        <w:t>ого</w:t>
      </w:r>
      <w:r w:rsidR="00091D43">
        <w:t xml:space="preserve"> </w:t>
      </w:r>
      <w:r w:rsidR="00EA376C">
        <w:t>предложения делать оферты</w:t>
      </w:r>
      <w:r w:rsidR="00091D43">
        <w:t xml:space="preserve"> </w:t>
      </w:r>
      <w:r w:rsidR="001E2DD9" w:rsidRPr="00A80684">
        <w:t>н</w:t>
      </w:r>
      <w:r w:rsidR="001E2DD9">
        <w:t xml:space="preserve">е </w:t>
      </w:r>
      <w:r w:rsidR="001E2DD9" w:rsidRPr="004E256A">
        <w:t>позднее 2</w:t>
      </w:r>
      <w:r w:rsidR="00546D76">
        <w:t>0</w:t>
      </w:r>
      <w:r w:rsidR="001E2DD9" w:rsidRPr="004E256A">
        <w:t xml:space="preserve"> </w:t>
      </w:r>
      <w:r>
        <w:t xml:space="preserve">(Двадцати) календарных </w:t>
      </w:r>
      <w:r w:rsidR="001E2DD9" w:rsidRPr="004E256A">
        <w:t>дней с момента уведомления о принятии нашего предложения.</w:t>
      </w:r>
    </w:p>
    <w:p w:rsidR="005626C9" w:rsidRDefault="005626C9" w:rsidP="00A74991">
      <w:pPr>
        <w:ind w:firstLine="709"/>
        <w:jc w:val="both"/>
      </w:pPr>
      <w:r>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rsidR="00546D76">
        <w:t xml:space="preserve"> </w:t>
      </w:r>
      <w:r w:rsidR="006B5662">
        <w:t xml:space="preserve">генподряда </w:t>
      </w:r>
      <w:r w:rsidR="008904AC">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rPr>
          <w:b/>
        </w:rPr>
        <w:t xml:space="preserve"> </w:t>
      </w:r>
      <w:r>
        <w:t xml:space="preserve">условиях после получения уведомления об акцепте оферты со стороны ОАО </w:t>
      </w:r>
      <w:r w:rsidR="00EF378A">
        <w:t>«</w:t>
      </w:r>
      <w:r>
        <w:t>Славнефть-ЯНОС</w:t>
      </w:r>
      <w:r w:rsidR="00EF378A">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установленного для подписания договора </w:t>
      </w:r>
      <w:r w:rsidR="0033630A">
        <w:t>ген</w:t>
      </w:r>
      <w:r w:rsidR="008904AC">
        <w:t xml:space="preserve">подряда </w:t>
      </w:r>
      <w:r>
        <w:t xml:space="preserve">(или дня отказа), уплатить Обществу штрафную неустойку в размере </w:t>
      </w:r>
      <w:r w:rsidR="00A804D2">
        <w:t>10</w:t>
      </w:r>
      <w:r>
        <w:t xml:space="preserve">% от суммы </w:t>
      </w:r>
      <w:r w:rsidR="00A804D2">
        <w:t xml:space="preserve">акцептованной </w:t>
      </w:r>
      <w:r>
        <w:t>Оферты. Призна</w:t>
      </w:r>
      <w:r w:rsidR="00C857B1">
        <w:t>е</w:t>
      </w:r>
      <w:r>
        <w:t xml:space="preserve">м, что при несвоевременной или неполной уплате штрафной неустойки ОАО </w:t>
      </w:r>
      <w:r w:rsidR="00EF378A">
        <w:t>«</w:t>
      </w:r>
      <w:r>
        <w:t>Славнефть-ЯНОС</w:t>
      </w:r>
      <w:r w:rsidR="00EF378A">
        <w:t>»</w:t>
      </w:r>
      <w:r>
        <w:t xml:space="preserve"> вправе начислить, мы обязаны уплатить, пени в размере 0,5% от несвоевременно уплаченной суммы до момента полного погашения. </w:t>
      </w:r>
    </w:p>
    <w:p w:rsidR="00A74991" w:rsidRDefault="00A74991" w:rsidP="0017700F">
      <w:pPr>
        <w:spacing w:before="60"/>
      </w:pP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EF378A">
        <w:t>«</w:t>
      </w:r>
      <w:r w:rsidR="001E2DD9">
        <w:t>Славнефть-ЯНОС</w:t>
      </w:r>
      <w:r w:rsidR="00EF378A">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EF378A">
        <w:t>«</w:t>
      </w:r>
      <w:r w:rsidR="001E2DD9">
        <w:t>Славнефть-ЯНОС</w:t>
      </w:r>
      <w:r w:rsidR="00EF378A">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3C7E5E">
        <w:t>416</w:t>
      </w:r>
      <w:r w:rsidR="00CD5D52" w:rsidRPr="00CD5D52">
        <w:t>-</w:t>
      </w:r>
      <w:r w:rsidR="00F53E1B">
        <w:t>КС</w:t>
      </w:r>
      <w:r w:rsidR="00CD5D52" w:rsidRPr="00CD5D52">
        <w:t>-201</w:t>
      </w:r>
      <w:r w:rsidR="001018D4">
        <w:t>6</w:t>
      </w:r>
    </w:p>
    <w:p w:rsidR="001E2DD9" w:rsidRDefault="00D44F82"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3C7E5E" w:rsidRDefault="003C7E5E" w:rsidP="009332C1">
                  <w:r>
                    <w:t>На бланке организации</w:t>
                  </w:r>
                </w:p>
                <w:p w:rsidR="003C7E5E" w:rsidRPr="009332C1" w:rsidRDefault="003C7E5E">
                  <w:pPr>
                    <w:rPr>
                      <w:sz w:val="16"/>
                      <w:szCs w:val="16"/>
                    </w:rPr>
                  </w:pPr>
                </w:p>
                <w:p w:rsidR="003C7E5E" w:rsidRDefault="003C7E5E">
                  <w:r>
                    <w:t>&lt;исходящий номер&gt;</w:t>
                  </w:r>
                </w:p>
                <w:p w:rsidR="003C7E5E" w:rsidRPr="00B95502" w:rsidRDefault="003C7E5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r w:rsidR="0014302C">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 xml:space="preserve">работ </w:t>
      </w:r>
      <w:r w:rsidR="003C7E5E" w:rsidRPr="00250D00">
        <w:rPr>
          <w:b/>
        </w:rPr>
        <w:t xml:space="preserve">по </w:t>
      </w:r>
      <w:r w:rsidR="003C7E5E" w:rsidRPr="006A4DD8">
        <w:rPr>
          <w:b/>
        </w:rPr>
        <w:t>Модернизаци</w:t>
      </w:r>
      <w:r w:rsidR="003C7E5E">
        <w:rPr>
          <w:b/>
        </w:rPr>
        <w:t>и</w:t>
      </w:r>
      <w:r w:rsidR="003C7E5E" w:rsidRPr="006A4DD8">
        <w:rPr>
          <w:b/>
        </w:rPr>
        <w:t xml:space="preserve"> </w:t>
      </w:r>
      <w:r w:rsidR="003C7E5E" w:rsidRPr="006322E7">
        <w:rPr>
          <w:b/>
        </w:rPr>
        <w:t>проходной 10А</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1018D4" w:rsidP="00A859B2">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w:t>
            </w:r>
            <w:r w:rsidR="002C7043" w:rsidRPr="00250D00">
              <w:rPr>
                <w:b/>
              </w:rPr>
              <w:t xml:space="preserve">работ </w:t>
            </w:r>
            <w:r w:rsidR="00AB093D" w:rsidRPr="00250D00">
              <w:rPr>
                <w:b/>
              </w:rPr>
              <w:t xml:space="preserve">по </w:t>
            </w:r>
            <w:r w:rsidR="00AB093D" w:rsidRPr="006A4DD8">
              <w:rPr>
                <w:b/>
              </w:rPr>
              <w:t>Модернизаци</w:t>
            </w:r>
            <w:r w:rsidR="00AB093D">
              <w:rPr>
                <w:b/>
              </w:rPr>
              <w:t>и</w:t>
            </w:r>
            <w:r w:rsidR="00AB093D" w:rsidRPr="006A4DD8">
              <w:rPr>
                <w:b/>
              </w:rPr>
              <w:t xml:space="preserve"> </w:t>
            </w:r>
            <w:r w:rsidR="00AB093D" w:rsidRPr="006322E7">
              <w:rPr>
                <w:b/>
              </w:rPr>
              <w:t>проходной 10А</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EF378A"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EF378A"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EF378A"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r>
        <w:rPr>
          <w:b/>
          <w:bCs/>
        </w:rPr>
        <w:t>⃰ Форма заполняется для каждого лота отдельно.</w:t>
      </w:r>
    </w:p>
    <w:p w:rsidR="001E2DD9" w:rsidRDefault="0014302C" w:rsidP="0014302C">
      <w:pPr>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AB093D">
        <w:t>416</w:t>
      </w:r>
      <w:r w:rsidR="00CD5D52" w:rsidRPr="00CD5D52">
        <w:t>-КС-201</w:t>
      </w:r>
      <w:r w:rsidR="001018D4">
        <w:t>6</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AB093D" w:rsidRPr="00C13721">
        <w:t xml:space="preserve">выполнение </w:t>
      </w:r>
      <w:r w:rsidR="00AB093D">
        <w:t xml:space="preserve">Комплекса работ по </w:t>
      </w:r>
      <w:r w:rsidR="00AB093D" w:rsidRPr="006A4DD8">
        <w:rPr>
          <w:b/>
        </w:rPr>
        <w:t>Модернизаци</w:t>
      </w:r>
      <w:r w:rsidR="00AB093D">
        <w:rPr>
          <w:b/>
        </w:rPr>
        <w:t>и</w:t>
      </w:r>
      <w:r w:rsidR="00AB093D" w:rsidRPr="006A4DD8">
        <w:rPr>
          <w:b/>
        </w:rPr>
        <w:t xml:space="preserve"> </w:t>
      </w:r>
      <w:r w:rsidR="00AB093D" w:rsidRPr="006322E7">
        <w:rPr>
          <w:b/>
        </w:rPr>
        <w:t>проходной 10А</w:t>
      </w:r>
      <w:r w:rsidR="00AB093D" w:rsidRPr="006A4DD8">
        <w:t>,</w:t>
      </w:r>
      <w:r w:rsidR="00AB093D" w:rsidRPr="00C13721">
        <w:t xml:space="preserve"> 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 xml:space="preserve">Данный предмет закупки выставляется </w:t>
      </w:r>
      <w:r w:rsidR="001018D4" w:rsidRPr="00686EF3">
        <w:rPr>
          <w:i/>
        </w:rPr>
        <w:t xml:space="preserve">в виде </w:t>
      </w:r>
      <w:r w:rsidR="00AB093D">
        <w:rPr>
          <w:i/>
        </w:rPr>
        <w:t xml:space="preserve">единого </w:t>
      </w:r>
      <w:r w:rsidR="001018D4" w:rsidRPr="00686EF3">
        <w:rPr>
          <w:i/>
        </w:rPr>
        <w:t>лот</w:t>
      </w:r>
      <w:r w:rsidR="00AB093D">
        <w:rPr>
          <w:i/>
        </w:rPr>
        <w:t>а</w:t>
      </w:r>
      <w:r w:rsidRPr="00DF4009">
        <w:rPr>
          <w:i/>
        </w:rPr>
        <w:t>.</w:t>
      </w:r>
    </w:p>
    <w:p w:rsidR="00943244" w:rsidRPr="004F2728" w:rsidRDefault="00943244" w:rsidP="00943244">
      <w:pPr>
        <w:suppressAutoHyphens/>
        <w:ind w:firstLine="709"/>
        <w:jc w:val="both"/>
      </w:pPr>
    </w:p>
    <w:p w:rsidR="001018D4" w:rsidRDefault="001018D4" w:rsidP="001018D4">
      <w:pPr>
        <w:suppressAutoHyphens/>
        <w:jc w:val="both"/>
        <w:rPr>
          <w:u w:val="single"/>
        </w:rPr>
      </w:pPr>
      <w:r w:rsidRPr="00686EF3">
        <w:rPr>
          <w:u w:val="single"/>
        </w:rPr>
        <w:t>Содержание комплекса работ, вошедших в объем тендера:</w:t>
      </w:r>
    </w:p>
    <w:p w:rsidR="00EE4760" w:rsidRPr="00E46263" w:rsidRDefault="00AB093D" w:rsidP="00AB093D">
      <w:pPr>
        <w:suppressAutoHyphens/>
        <w:ind w:left="709" w:hanging="283"/>
        <w:jc w:val="both"/>
      </w:pPr>
      <w:r>
        <w:t xml:space="preserve">● </w:t>
      </w:r>
      <w:r w:rsidRPr="006322E7">
        <w:t>Комплекс работ по Модернизации проходной 10А</w:t>
      </w:r>
      <w:r>
        <w:t xml:space="preserve"> </w:t>
      </w:r>
      <w:r w:rsidRPr="00C13721">
        <w:t>по проект</w:t>
      </w:r>
      <w:r>
        <w:t>у</w:t>
      </w:r>
      <w:r w:rsidRPr="00C13721">
        <w:t xml:space="preserve"> №</w:t>
      </w:r>
      <w:r w:rsidRPr="00C13721">
        <w:rPr>
          <w:lang w:val="en-US"/>
        </w:rPr>
        <w:t> </w:t>
      </w:r>
      <w:r w:rsidRPr="00C13721">
        <w:t>18</w:t>
      </w:r>
      <w:r>
        <w:t xml:space="preserve">881, включая пусконаладочные работы, в рамках </w:t>
      </w:r>
      <w:r w:rsidRPr="006322E7">
        <w:t>Целев</w:t>
      </w:r>
      <w:r>
        <w:t>ой</w:t>
      </w:r>
      <w:r w:rsidRPr="006322E7">
        <w:t xml:space="preserve"> программ</w:t>
      </w:r>
      <w:r>
        <w:t>ы</w:t>
      </w:r>
      <w:r w:rsidRPr="006322E7">
        <w:t>: Модернизация станции налива нефтепродуктов тит. 351/4 в автоцистерны с применением массовых расходомеров</w:t>
      </w:r>
      <w:r>
        <w:t>.</w:t>
      </w:r>
    </w:p>
    <w:p w:rsidR="004E58E4" w:rsidRPr="00EE186A" w:rsidRDefault="004E58E4" w:rsidP="004E58E4">
      <w:pPr>
        <w:suppressAutoHyphens/>
        <w:ind w:left="360"/>
        <w:jc w:val="both"/>
        <w:rPr>
          <w:i/>
        </w:rPr>
      </w:pPr>
    </w:p>
    <w:p w:rsidR="00AB093D" w:rsidRPr="00C13721" w:rsidRDefault="00AB093D" w:rsidP="00AB093D">
      <w:pPr>
        <w:suppressAutoHyphens/>
        <w:ind w:firstLine="540"/>
        <w:jc w:val="both"/>
      </w:pPr>
      <w:r w:rsidRPr="00C13721">
        <w:t xml:space="preserve">Объёмы, виды и сроки выполнения </w:t>
      </w:r>
      <w:r w:rsidRPr="006322E7">
        <w:t>Комплекса работ по Модернизации проходной 10А</w:t>
      </w:r>
      <w:r w:rsidRPr="00C13721">
        <w:t>, не вошедши</w:t>
      </w:r>
      <w:r>
        <w:t>е</w:t>
      </w:r>
      <w:r w:rsidRPr="00C13721">
        <w:t xml:space="preserve"> в объёмы закупки и проводимы</w:t>
      </w:r>
      <w:r>
        <w:t>е</w:t>
      </w:r>
      <w:r w:rsidRPr="00C13721">
        <w:t xml:space="preserve"> в рамках </w:t>
      </w:r>
      <w:r>
        <w:t>ц</w:t>
      </w:r>
      <w:r w:rsidRPr="00B1551D">
        <w:t>елев</w:t>
      </w:r>
      <w:r>
        <w:t>ой</w:t>
      </w:r>
      <w:r w:rsidRPr="00B1551D">
        <w:t xml:space="preserve"> программ</w:t>
      </w:r>
      <w:r>
        <w:t>ы</w:t>
      </w:r>
      <w:r w:rsidRPr="00B1551D">
        <w:t>: Модернизация станции налива нефтепродуктов тит. 351/4 в автоцистерны с применением массовых расходомеров</w:t>
      </w:r>
      <w:r w:rsidRPr="00C13721">
        <w:t xml:space="preserve">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AB093D" w:rsidRPr="00C13721" w:rsidRDefault="00AB093D" w:rsidP="00AB093D">
      <w:pPr>
        <w:suppressAutoHyphens/>
        <w:ind w:firstLine="540"/>
        <w:jc w:val="both"/>
      </w:pPr>
      <w:r w:rsidRPr="00C13721">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 3,4 к проекту договора) до их полного завершения. </w:t>
      </w:r>
    </w:p>
    <w:p w:rsidR="001018D4" w:rsidRPr="009D5CB7" w:rsidRDefault="00AB093D" w:rsidP="00AB093D">
      <w:pPr>
        <w:suppressAutoHyphens/>
        <w:ind w:firstLine="540"/>
        <w:jc w:val="both"/>
      </w:pPr>
      <w:r w:rsidRPr="00C13721">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1018D4" w:rsidRPr="009D5CB7" w:rsidRDefault="001018D4" w:rsidP="001018D4">
      <w:pPr>
        <w:suppressAutoHyphens/>
        <w:ind w:firstLine="540"/>
        <w:jc w:val="both"/>
        <w:rPr>
          <w:b/>
        </w:rPr>
      </w:pPr>
      <w:r w:rsidRPr="009D5CB7">
        <w:rPr>
          <w:b/>
        </w:rPr>
        <w:t>Выбор Генподрядчиков на проведение вышеуказанных комплексов работ б</w:t>
      </w:r>
      <w:r w:rsidR="00AB093D">
        <w:rPr>
          <w:b/>
        </w:rPr>
        <w:t>удет осуществляться в два этапа</w:t>
      </w:r>
      <w:r w:rsidRPr="009D5CB7">
        <w:rPr>
          <w:b/>
        </w:rPr>
        <w:t>:</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AB093D" w:rsidRPr="00C13721" w:rsidRDefault="00AB093D" w:rsidP="00AB093D">
      <w:pPr>
        <w:suppressAutoHyphens/>
        <w:ind w:left="869"/>
        <w:jc w:val="both"/>
      </w:pPr>
      <w:r w:rsidRPr="00C13721">
        <w:t>- твердая договорная цена работ по вышеперечисленным разделам прилагаемой проектно-технической документации;</w:t>
      </w:r>
    </w:p>
    <w:p w:rsidR="00AB093D" w:rsidRPr="00C13721" w:rsidRDefault="00AB093D" w:rsidP="00AB093D">
      <w:pPr>
        <w:suppressAutoHyphens/>
        <w:ind w:left="869"/>
        <w:jc w:val="both"/>
      </w:pPr>
      <w:r w:rsidRPr="00C13721">
        <w:t>- регламенты определения стоимости строительно-монтажных и пусконаладочных работ на последующие работы (по форме приложений № 3, 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w:t>
      </w:r>
      <w:r>
        <w:t>9.1.</w:t>
      </w:r>
      <w:r w:rsidRPr="00C13721">
        <w:t xml:space="preserve"> к настоящему ПДО);</w:t>
      </w:r>
    </w:p>
    <w:p w:rsidR="00AB093D" w:rsidRPr="00C13721" w:rsidRDefault="00AB093D" w:rsidP="00AB093D">
      <w:pPr>
        <w:suppressAutoHyphens/>
        <w:ind w:left="869"/>
        <w:jc w:val="both"/>
      </w:pPr>
      <w:r w:rsidRPr="00C13721">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t>9.2.</w:t>
      </w:r>
      <w:r w:rsidRPr="00C13721">
        <w:t>к настоящему ПДО),</w:t>
      </w:r>
    </w:p>
    <w:p w:rsidR="001018D4" w:rsidRDefault="00AB093D" w:rsidP="00AB093D">
      <w:pPr>
        <w:suppressAutoHyphens/>
        <w:ind w:left="869"/>
        <w:jc w:val="both"/>
      </w:pPr>
      <w:r w:rsidRPr="00C13721">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C13721">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п.п.10.1.«Условия оплаты и взаиморасчеты» (в случае необходимости предоставления  авансового платежа претенденту)</w:t>
      </w:r>
      <w:r>
        <w:t>.</w:t>
      </w: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018D4">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AB093D" w:rsidRPr="00C13721" w:rsidRDefault="00AB093D" w:rsidP="00AB093D">
      <w:pPr>
        <w:jc w:val="both"/>
        <w:rPr>
          <w:bCs/>
        </w:rPr>
      </w:pPr>
      <w:r w:rsidRPr="00C13721">
        <w:rPr>
          <w:b/>
          <w:u w:val="single"/>
        </w:rPr>
        <w:t>В объем закупки не включены</w:t>
      </w:r>
      <w:r w:rsidRPr="00C13721">
        <w:rPr>
          <w:b/>
        </w:rPr>
        <w:t>:</w:t>
      </w:r>
      <w:r w:rsidRPr="00C13721">
        <w:t xml:space="preserve"> вновь выпускаемые изменения и дополнения по вышеуказанной проектно-технической документации</w:t>
      </w:r>
      <w:r w:rsidRPr="00C13721">
        <w:rPr>
          <w:i/>
        </w:rPr>
        <w:t>,</w:t>
      </w:r>
      <w:r w:rsidRPr="00C13721">
        <w:t xml:space="preserve"> а также вновь выпускаемая проектно-техническая документация в рамках выполнения </w:t>
      </w:r>
      <w:r w:rsidRPr="00FD2F5D">
        <w:t>Комплекса работ по Модернизации проходной 10А</w:t>
      </w:r>
      <w:r w:rsidRPr="00C13721">
        <w:t>.</w:t>
      </w:r>
    </w:p>
    <w:p w:rsidR="00AB093D" w:rsidRPr="00AB093D" w:rsidRDefault="00AB093D" w:rsidP="00AB093D">
      <w:pPr>
        <w:suppressAutoHyphens/>
        <w:jc w:val="both"/>
        <w:rPr>
          <w:i/>
        </w:rPr>
      </w:pPr>
      <w:r w:rsidRPr="00AB093D">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AB093D" w:rsidRPr="00AB093D" w:rsidRDefault="00AB093D" w:rsidP="00AB093D">
      <w:pPr>
        <w:suppressAutoHyphens/>
        <w:jc w:val="both"/>
        <w:rPr>
          <w:i/>
        </w:rPr>
      </w:pPr>
    </w:p>
    <w:p w:rsidR="001018D4" w:rsidRPr="00AB093D" w:rsidRDefault="00AB093D" w:rsidP="00AB093D">
      <w:pPr>
        <w:suppressAutoHyphens/>
        <w:jc w:val="both"/>
      </w:pPr>
      <w:r w:rsidRPr="00AB093D">
        <w:rPr>
          <w:u w:val="single"/>
        </w:rPr>
        <w:t>Основные технико-экономические параметры</w:t>
      </w:r>
      <w:r w:rsidRPr="00AB093D">
        <w:t>: работы производятся на территории действующего предприятия – ОАО «Славнефть-ЯНОС».</w:t>
      </w:r>
    </w:p>
    <w:p w:rsidR="001018D4" w:rsidRPr="00AB093D" w:rsidRDefault="001018D4" w:rsidP="001018D4">
      <w:pPr>
        <w:suppressAutoHyphens/>
        <w:autoSpaceDE w:val="0"/>
        <w:spacing w:before="120"/>
        <w:jc w:val="both"/>
      </w:pPr>
      <w:r w:rsidRPr="00AB093D">
        <w:rPr>
          <w:u w:val="single"/>
        </w:rPr>
        <w:t>Заказчик:</w:t>
      </w:r>
      <w:r w:rsidRPr="00AB093D">
        <w:t xml:space="preserve"> Открытое </w:t>
      </w:r>
      <w:r w:rsidR="00B10BAA" w:rsidRPr="00AB093D">
        <w:t>а</w:t>
      </w:r>
      <w:r w:rsidRPr="00AB093D">
        <w:t xml:space="preserve">кционерное </w:t>
      </w:r>
      <w:r w:rsidR="00B10BAA" w:rsidRPr="00AB093D">
        <w:t>о</w:t>
      </w:r>
      <w:r w:rsidRPr="00AB093D">
        <w:t>бщество «Славнефть – Ярославнефтеоргсинтез» (ОАО «Славнефть – ЯНОС»).</w:t>
      </w:r>
    </w:p>
    <w:p w:rsidR="00AB093D" w:rsidRPr="00AB093D" w:rsidRDefault="00AB093D" w:rsidP="00AB093D">
      <w:pPr>
        <w:suppressAutoHyphens/>
        <w:autoSpaceDE w:val="0"/>
        <w:spacing w:before="120"/>
        <w:jc w:val="both"/>
        <w:rPr>
          <w:u w:val="single"/>
        </w:rPr>
      </w:pPr>
      <w:r w:rsidRPr="00AB093D">
        <w:rPr>
          <w:u w:val="single"/>
        </w:rPr>
        <w:t xml:space="preserve">Плановые сроки выполнения работ, вошедших в объем закупки (согласно Графика производства работ и освоения средств (Приложение №2 к договору): </w:t>
      </w:r>
    </w:p>
    <w:p w:rsidR="00AB093D" w:rsidRPr="00AB093D" w:rsidRDefault="00AB093D" w:rsidP="00AB093D">
      <w:pPr>
        <w:jc w:val="both"/>
        <w:rPr>
          <w:b/>
          <w:bCs/>
          <w:i/>
        </w:rPr>
      </w:pPr>
    </w:p>
    <w:p w:rsidR="00AB093D" w:rsidRPr="00AB093D" w:rsidRDefault="00AB093D" w:rsidP="00AB093D">
      <w:pPr>
        <w:jc w:val="both"/>
        <w:rPr>
          <w:bCs/>
          <w:i/>
        </w:rPr>
      </w:pPr>
      <w:r w:rsidRPr="00AB093D">
        <w:rPr>
          <w:bCs/>
          <w:i/>
        </w:rPr>
        <w:t>Начало работ – от даты подписания договора, окончание работ – 31 марта 2017 г.</w:t>
      </w:r>
    </w:p>
    <w:p w:rsidR="00AB093D" w:rsidRPr="00AB093D" w:rsidRDefault="00AB093D" w:rsidP="00AB093D">
      <w:pPr>
        <w:rPr>
          <w:i/>
        </w:rPr>
      </w:pPr>
    </w:p>
    <w:p w:rsidR="00AB093D" w:rsidRPr="00AB093D" w:rsidRDefault="00AB093D" w:rsidP="00AB093D">
      <w:pPr>
        <w:rPr>
          <w:i/>
        </w:rPr>
      </w:pPr>
      <w:r w:rsidRPr="00AB093D">
        <w:rPr>
          <w:i/>
        </w:rPr>
        <w:t>Срок окончания всего комплекса работ – до 31 марта 2017 г.</w:t>
      </w:r>
    </w:p>
    <w:p w:rsidR="00AB093D" w:rsidRPr="00AB093D" w:rsidRDefault="00AB093D" w:rsidP="00AB093D">
      <w:pPr>
        <w:rPr>
          <w:i/>
        </w:rPr>
      </w:pPr>
    </w:p>
    <w:p w:rsidR="00AB093D" w:rsidRPr="00C13721" w:rsidRDefault="00AB093D" w:rsidP="00AB093D">
      <w:pPr>
        <w:pStyle w:val="320"/>
        <w:ind w:firstLine="11"/>
        <w:rPr>
          <w:u w:val="single"/>
        </w:rPr>
      </w:pPr>
      <w:r w:rsidRPr="00C13721">
        <w:rPr>
          <w:u w:val="single"/>
        </w:rPr>
        <w:t>Условия оплаты работ: (согласно статье 10 проекта Договора генподряда)</w:t>
      </w:r>
    </w:p>
    <w:p w:rsidR="00AB093D" w:rsidRPr="00C13721" w:rsidRDefault="00AB093D" w:rsidP="00AB093D">
      <w:pPr>
        <w:suppressAutoHyphens/>
        <w:jc w:val="both"/>
      </w:pPr>
      <w:r w:rsidRPr="00C13721">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AB093D" w:rsidRPr="00C13721" w:rsidRDefault="00AB093D" w:rsidP="00AB093D">
      <w:pPr>
        <w:suppressAutoHyphens/>
        <w:ind w:firstLine="709"/>
        <w:jc w:val="both"/>
      </w:pPr>
      <w:r w:rsidRPr="00C13721">
        <w:t xml:space="preserve">Необходимость в предоставлении авансовых платежей и размер данных платежей устанавливается в процессе проведения </w:t>
      </w:r>
      <w:r>
        <w:t>закупки</w:t>
      </w:r>
      <w:r w:rsidRPr="00C13721">
        <w:t xml:space="preserve">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5 к Договору).  Авансовые платежи могут быть перечислены контрагенту в течение 15 календарных дней с даты предоставления следующих документов:</w:t>
      </w:r>
    </w:p>
    <w:p w:rsidR="00AB093D" w:rsidRPr="00C13721" w:rsidRDefault="00AB093D" w:rsidP="00AB093D">
      <w:pPr>
        <w:suppressAutoHyphens/>
        <w:jc w:val="both"/>
      </w:pPr>
      <w:r w:rsidRPr="00C13721">
        <w:t>– выставленного Генподрядчиком счета;</w:t>
      </w:r>
    </w:p>
    <w:p w:rsidR="00AB093D" w:rsidRPr="00C13721" w:rsidRDefault="00AB093D" w:rsidP="00AB093D">
      <w:pPr>
        <w:suppressAutoHyphens/>
        <w:jc w:val="both"/>
      </w:pPr>
      <w:r w:rsidRPr="00C13721">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AB093D" w:rsidRPr="00C13721" w:rsidRDefault="00AB093D" w:rsidP="00AB093D">
      <w:pPr>
        <w:suppressAutoHyphens/>
        <w:ind w:firstLine="709"/>
        <w:jc w:val="both"/>
      </w:pPr>
      <w:r w:rsidRPr="00C13721">
        <w:t>Генподрядчик обязан осуществить погашение аванса в соответствии с Графиком погашения авансовых платежей (Приложение № 5 к Договору). По согласованию сторон возможно досрочное погашение аванса.</w:t>
      </w:r>
    </w:p>
    <w:p w:rsidR="00AB093D" w:rsidRPr="00C13721" w:rsidRDefault="00AB093D" w:rsidP="00AB093D">
      <w:pPr>
        <w:suppressAutoHyphens/>
        <w:ind w:firstLine="709"/>
        <w:jc w:val="both"/>
      </w:pPr>
      <w:r w:rsidRPr="00C13721">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AB093D" w:rsidRPr="00C13721" w:rsidRDefault="00AB093D" w:rsidP="00AB093D">
      <w:pPr>
        <w:suppressAutoHyphens/>
        <w:jc w:val="both"/>
        <w:rPr>
          <w:u w:val="single"/>
        </w:rPr>
      </w:pPr>
    </w:p>
    <w:p w:rsidR="00AB093D" w:rsidRPr="00C13721" w:rsidRDefault="00AB093D" w:rsidP="00AB093D">
      <w:pPr>
        <w:suppressAutoHyphens/>
        <w:jc w:val="both"/>
      </w:pPr>
      <w:r w:rsidRPr="00C13721">
        <w:rPr>
          <w:u w:val="single"/>
        </w:rPr>
        <w:t>Выдаваемая проектно-техническая документация:</w:t>
      </w:r>
      <w:r w:rsidRPr="00C13721">
        <w:t xml:space="preserve"> </w:t>
      </w:r>
      <w:r w:rsidRPr="00AA3B83">
        <w:rPr>
          <w:color w:val="000000"/>
        </w:rPr>
        <w:t>проект 18881</w:t>
      </w:r>
      <w:r>
        <w:rPr>
          <w:color w:val="FF0000"/>
        </w:rPr>
        <w:t xml:space="preserve"> </w:t>
      </w:r>
      <w:r w:rsidRPr="00C13721">
        <w:t>разработан ООО «Промхимпроект»</w:t>
      </w:r>
      <w:r>
        <w:t>.</w:t>
      </w:r>
    </w:p>
    <w:p w:rsidR="001018D4" w:rsidRPr="009327DF" w:rsidRDefault="00AB093D" w:rsidP="00AB093D">
      <w:pPr>
        <w:ind w:firstLine="709"/>
        <w:jc w:val="both"/>
        <w:rPr>
          <w:highlight w:val="yellow"/>
        </w:rPr>
      </w:pPr>
      <w:r w:rsidRPr="009327DF">
        <w:rPr>
          <w:highlight w:val="yellow"/>
        </w:rPr>
        <w:t>Данная документация с прило</w:t>
      </w:r>
      <w:r w:rsidR="009327DF" w:rsidRPr="009327DF">
        <w:rPr>
          <w:highlight w:val="yellow"/>
        </w:rPr>
        <w:t>жением ведомостей объёмов работ размещена по ссылке:</w:t>
      </w:r>
    </w:p>
    <w:p w:rsidR="009327DF" w:rsidRDefault="009327DF" w:rsidP="009327DF">
      <w:pPr>
        <w:jc w:val="both"/>
      </w:pPr>
      <w:hyperlink r:id="rId9" w:history="1">
        <w:r w:rsidRPr="009327DF">
          <w:rPr>
            <w:rStyle w:val="afd"/>
            <w:highlight w:val="yellow"/>
          </w:rPr>
          <w:t>http://yanos.slavneft.ru/files/doc_pdo_416-ks-2016_636136802447639190.zip</w:t>
        </w:r>
      </w:hyperlink>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AB093D" w:rsidRPr="00C13721" w:rsidRDefault="00AB093D" w:rsidP="00AB093D">
      <w:pPr>
        <w:suppressAutoHyphens/>
        <w:autoSpaceDE w:val="0"/>
        <w:spacing w:before="120"/>
        <w:ind w:firstLine="709"/>
        <w:jc w:val="both"/>
      </w:pPr>
      <w:r w:rsidRPr="00C13721">
        <w:t xml:space="preserve">Весь комплекс работ должен выполняться </w:t>
      </w:r>
      <w:r w:rsidRPr="00C13721">
        <w:rPr>
          <w:spacing w:val="4"/>
        </w:rPr>
        <w:t>в соответствии с выдаваемой Заказчиком проектно-</w:t>
      </w:r>
      <w:r w:rsidRPr="00C13721">
        <w:t>технической документацией, должен быть надлежащего качества, отвечать требованиям соответствующих стандартов, норм и технических условий.</w:t>
      </w:r>
    </w:p>
    <w:p w:rsidR="00AB093D" w:rsidRPr="00C13721" w:rsidRDefault="00AB093D" w:rsidP="00AB093D">
      <w:pPr>
        <w:suppressAutoHyphens/>
        <w:autoSpaceDE w:val="0"/>
        <w:spacing w:before="120"/>
        <w:ind w:firstLine="709"/>
        <w:jc w:val="both"/>
      </w:pPr>
      <w:r w:rsidRPr="00C13721">
        <w:t>Монтажные работы необходимо производить по Проекту производства работ, согласованному с Заказчиком до начала выполнения работ.</w:t>
      </w:r>
    </w:p>
    <w:p w:rsidR="00E82F7E" w:rsidRDefault="00AB093D" w:rsidP="00AB093D">
      <w:pPr>
        <w:suppressAutoHyphens/>
        <w:ind w:firstLine="567"/>
        <w:jc w:val="both"/>
      </w:pPr>
      <w:r w:rsidRPr="00C13721">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C13721">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C13721">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B093D" w:rsidRPr="00C13721" w:rsidRDefault="00AB093D" w:rsidP="00AB093D">
      <w:pPr>
        <w:autoSpaceDE w:val="0"/>
        <w:spacing w:before="60"/>
        <w:ind w:firstLine="340"/>
        <w:jc w:val="both"/>
      </w:pPr>
      <w:r w:rsidRPr="00C13721">
        <w:t>Все поставляемые для выполнения работ материалы (в случаях, предусмотренных законодательством) должны иметь:</w:t>
      </w:r>
    </w:p>
    <w:p w:rsidR="00AB093D" w:rsidRPr="00C13721" w:rsidRDefault="00AB093D" w:rsidP="00AB093D">
      <w:pPr>
        <w:numPr>
          <w:ilvl w:val="0"/>
          <w:numId w:val="4"/>
        </w:numPr>
        <w:ind w:left="680" w:hanging="340"/>
        <w:jc w:val="both"/>
      </w:pPr>
      <w:r w:rsidRPr="00C13721">
        <w:t>Сертификаты качества, выданные производителем;</w:t>
      </w:r>
    </w:p>
    <w:p w:rsidR="00AB093D" w:rsidRPr="00C13721" w:rsidRDefault="00AB093D" w:rsidP="00AB093D">
      <w:pPr>
        <w:numPr>
          <w:ilvl w:val="0"/>
          <w:numId w:val="4"/>
        </w:numPr>
        <w:ind w:left="680" w:hanging="340"/>
        <w:jc w:val="both"/>
      </w:pPr>
      <w:r w:rsidRPr="00C13721">
        <w:t>Сертификаты соответствия Госстандарта Российской Федерации;</w:t>
      </w:r>
    </w:p>
    <w:p w:rsidR="00AB093D" w:rsidRPr="00C13721" w:rsidRDefault="00AB093D" w:rsidP="00AB093D">
      <w:pPr>
        <w:numPr>
          <w:ilvl w:val="0"/>
          <w:numId w:val="4"/>
        </w:numPr>
        <w:ind w:left="680" w:hanging="340"/>
        <w:jc w:val="both"/>
      </w:pPr>
      <w:r w:rsidRPr="00C13721">
        <w:t>Сертификаты страны происхождения;</w:t>
      </w:r>
    </w:p>
    <w:p w:rsidR="00AB093D" w:rsidRPr="00C13721" w:rsidRDefault="00AB093D" w:rsidP="00AB093D">
      <w:pPr>
        <w:numPr>
          <w:ilvl w:val="0"/>
          <w:numId w:val="4"/>
        </w:numPr>
        <w:ind w:left="680" w:hanging="340"/>
        <w:jc w:val="both"/>
      </w:pPr>
      <w:r w:rsidRPr="00C13721">
        <w:t>Технические паспорта и другие документы, удостоверяющие их качество.</w:t>
      </w:r>
    </w:p>
    <w:p w:rsidR="00AB093D" w:rsidRPr="00C13721" w:rsidRDefault="00AB093D" w:rsidP="00AB093D">
      <w:pPr>
        <w:ind w:firstLine="340"/>
        <w:jc w:val="both"/>
      </w:pPr>
      <w:r w:rsidRPr="00C13721">
        <w:t xml:space="preserve">Поставляемое Контрагентом оборудование должно, кроме того, иметь разрешения </w:t>
      </w:r>
      <w:r w:rsidRPr="00C13721">
        <w:rPr>
          <w:szCs w:val="22"/>
        </w:rPr>
        <w:t xml:space="preserve">на применение оборудования, утверждённые </w:t>
      </w:r>
      <w:r w:rsidRPr="00C13721">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C13721">
        <w:rPr>
          <w:szCs w:val="22"/>
        </w:rPr>
        <w:t>оссийские сертификаты о взрывозащите электрооборудования, с</w:t>
      </w:r>
      <w:r w:rsidRPr="00C13721">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AB093D" w:rsidRPr="00C13721" w:rsidRDefault="00AB093D" w:rsidP="00AB093D">
      <w:pPr>
        <w:ind w:firstLine="681"/>
        <w:jc w:val="both"/>
        <w:rPr>
          <w:i/>
        </w:rPr>
      </w:pPr>
      <w:r w:rsidRPr="00C13721">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B093D" w:rsidRPr="00C13721" w:rsidRDefault="00AB093D" w:rsidP="00AB093D">
      <w:pPr>
        <w:autoSpaceDE w:val="0"/>
        <w:jc w:val="both"/>
      </w:pPr>
      <w:r w:rsidRPr="00C13721">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B093D" w:rsidRPr="00C13721" w:rsidRDefault="00AB093D" w:rsidP="00AB093D">
      <w:pPr>
        <w:suppressAutoHyphens/>
        <w:autoSpaceDE w:val="0"/>
        <w:jc w:val="both"/>
      </w:pPr>
      <w:r w:rsidRPr="00C13721">
        <w:rPr>
          <w:rFonts w:ascii="Arial" w:hAnsi="Arial" w:cs="Arial"/>
          <w:sz w:val="22"/>
          <w:szCs w:val="22"/>
        </w:rPr>
        <w:tab/>
      </w:r>
      <w:r w:rsidRPr="00C13721">
        <w:t>Антикоррозийная защита металлоконструкций производится до момента их монтажа.</w:t>
      </w:r>
    </w:p>
    <w:p w:rsidR="00E82F7E" w:rsidRDefault="00AB093D" w:rsidP="00AB093D">
      <w:pPr>
        <w:suppressAutoHyphens/>
        <w:ind w:firstLine="567"/>
        <w:jc w:val="both"/>
      </w:pPr>
      <w:r w:rsidRPr="00C13721">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82F7E" w:rsidRDefault="00E82F7E" w:rsidP="00E82F7E">
      <w:pPr>
        <w:suppressAutoHyphens/>
        <w:ind w:firstLine="567"/>
        <w:jc w:val="both"/>
      </w:pPr>
    </w:p>
    <w:p w:rsidR="00AB093D" w:rsidRPr="00AB093D" w:rsidRDefault="00AB093D" w:rsidP="00AB093D">
      <w:pPr>
        <w:suppressAutoHyphens/>
        <w:ind w:firstLine="540"/>
        <w:jc w:val="both"/>
      </w:pPr>
      <w:r w:rsidRPr="00AB093D">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и пусконаладочных работ, за исключением затрат на временные здания и сооружения, непредвиденные расходы.  При этом затраты на временные здания и сооружения, а также 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0F06F2" w:rsidRPr="00843298" w:rsidRDefault="00AB093D" w:rsidP="00AB093D">
      <w:pPr>
        <w:suppressAutoHyphens/>
        <w:ind w:firstLine="567"/>
        <w:jc w:val="both"/>
        <w:rPr>
          <w:b/>
        </w:rPr>
      </w:pPr>
      <w:r w:rsidRPr="00AB093D">
        <w:rPr>
          <w:b/>
        </w:rPr>
        <w:t>Стоимость работ Контрагента должна быть сформирована в соответствии с выданными Ведомостями объёмов работ (согласно п.1.1 договора генподряда), а также с учетом применения в случае необходимости, импортных машин и механизмов по методике ПАО “Роснефть” («Временный порядок обоснования затрат при эксплуатации ИММ»). Запрещается без уведомления Заказчика изменять в оферте объемы выполняемых работ.</w:t>
      </w:r>
    </w:p>
    <w:p w:rsidR="000F06F2" w:rsidRPr="00843298" w:rsidRDefault="000F06F2" w:rsidP="000F06F2">
      <w:pPr>
        <w:suppressAutoHyphens/>
        <w:ind w:firstLine="567"/>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5F58AE" w:rsidP="00E747FA">
      <w:pPr>
        <w:autoSpaceDE w:val="0"/>
        <w:ind w:firstLine="709"/>
        <w:jc w:val="both"/>
        <w:rPr>
          <w:b/>
        </w:rPr>
      </w:pPr>
      <w:r w:rsidRPr="00686EF3">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86EF3">
        <w:rPr>
          <w:lang w:val="en-US"/>
        </w:rPr>
        <w:t>I</w:t>
      </w:r>
      <w:r w:rsidRPr="00686EF3">
        <w:t xml:space="preserve">, </w:t>
      </w:r>
      <w:r w:rsidRPr="00686EF3">
        <w:rPr>
          <w:lang w:val="en-US"/>
        </w:rPr>
        <w:t>II</w:t>
      </w:r>
      <w:r w:rsidRPr="00686EF3">
        <w:t xml:space="preserve">, </w:t>
      </w:r>
      <w:r w:rsidRPr="00686EF3">
        <w:rPr>
          <w:lang w:val="en-US"/>
        </w:rPr>
        <w:t>III</w:t>
      </w:r>
      <w:r w:rsidRPr="00686EF3">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730"/>
        <w:gridCol w:w="2631"/>
        <w:gridCol w:w="1983"/>
        <w:gridCol w:w="2337"/>
      </w:tblGrid>
      <w:tr w:rsidR="00B8471C" w:rsidRPr="002E571A" w:rsidTr="00F85421">
        <w:trPr>
          <w:trHeight w:val="300"/>
          <w:tblHeader/>
        </w:trPr>
        <w:tc>
          <w:tcPr>
            <w:tcW w:w="582"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 п/п</w:t>
            </w:r>
          </w:p>
        </w:tc>
        <w:tc>
          <w:tcPr>
            <w:tcW w:w="2730" w:type="dxa"/>
            <w:vMerge w:val="restart"/>
            <w:shd w:val="clear" w:color="auto" w:fill="D9D9D9"/>
            <w:vAlign w:val="center"/>
            <w:hideMark/>
          </w:tcPr>
          <w:p w:rsidR="00A627EA" w:rsidRPr="002E571A" w:rsidRDefault="00A627EA" w:rsidP="00E65423">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31"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Документы, подтверждающие соответствия требованию</w:t>
            </w:r>
          </w:p>
        </w:tc>
        <w:tc>
          <w:tcPr>
            <w:tcW w:w="1983"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Единица измерения</w:t>
            </w:r>
          </w:p>
        </w:tc>
        <w:tc>
          <w:tcPr>
            <w:tcW w:w="2337" w:type="dxa"/>
            <w:vMerge w:val="restart"/>
            <w:shd w:val="clear" w:color="auto" w:fill="D9D9D9"/>
            <w:vAlign w:val="center"/>
            <w:hideMark/>
          </w:tcPr>
          <w:p w:rsidR="00A627EA" w:rsidRPr="002E571A" w:rsidRDefault="00A627EA" w:rsidP="00E65423">
            <w:pPr>
              <w:rPr>
                <w:rFonts w:cs="Arial"/>
                <w:b/>
                <w:bCs/>
                <w:sz w:val="20"/>
                <w:szCs w:val="20"/>
                <w:u w:val="single"/>
              </w:rPr>
            </w:pPr>
            <w:r w:rsidRPr="002E571A">
              <w:rPr>
                <w:rFonts w:cs="Arial"/>
                <w:b/>
                <w:bCs/>
                <w:sz w:val="20"/>
                <w:szCs w:val="20"/>
              </w:rPr>
              <w:t>Условия соответствия</w:t>
            </w:r>
          </w:p>
        </w:tc>
      </w:tr>
      <w:tr w:rsidR="00B8471C" w:rsidRPr="002E571A" w:rsidTr="00F85421">
        <w:trPr>
          <w:trHeight w:val="300"/>
          <w:tblHeader/>
        </w:trPr>
        <w:tc>
          <w:tcPr>
            <w:tcW w:w="582" w:type="dxa"/>
            <w:vMerge/>
            <w:shd w:val="clear" w:color="auto" w:fill="D9D9D9"/>
            <w:vAlign w:val="center"/>
            <w:hideMark/>
          </w:tcPr>
          <w:p w:rsidR="00A627EA" w:rsidRPr="002E571A" w:rsidRDefault="00A627EA" w:rsidP="00E65423">
            <w:pPr>
              <w:rPr>
                <w:rFonts w:cs="Arial"/>
                <w:b/>
                <w:bCs/>
                <w:sz w:val="20"/>
                <w:szCs w:val="20"/>
              </w:rPr>
            </w:pPr>
          </w:p>
        </w:tc>
        <w:tc>
          <w:tcPr>
            <w:tcW w:w="2730" w:type="dxa"/>
            <w:vMerge/>
            <w:shd w:val="clear" w:color="auto" w:fill="D9D9D9"/>
            <w:vAlign w:val="center"/>
            <w:hideMark/>
          </w:tcPr>
          <w:p w:rsidR="00A627EA" w:rsidRPr="002E571A" w:rsidRDefault="00A627EA" w:rsidP="00E65423">
            <w:pPr>
              <w:rPr>
                <w:rFonts w:cs="Arial"/>
                <w:b/>
                <w:bCs/>
                <w:sz w:val="20"/>
                <w:szCs w:val="20"/>
              </w:rPr>
            </w:pPr>
          </w:p>
        </w:tc>
        <w:tc>
          <w:tcPr>
            <w:tcW w:w="2631" w:type="dxa"/>
            <w:vMerge/>
            <w:shd w:val="clear" w:color="auto" w:fill="D9D9D9"/>
            <w:vAlign w:val="center"/>
            <w:hideMark/>
          </w:tcPr>
          <w:p w:rsidR="00A627EA" w:rsidRPr="002E571A" w:rsidRDefault="00A627EA" w:rsidP="00E65423">
            <w:pPr>
              <w:rPr>
                <w:rFonts w:cs="Arial"/>
                <w:b/>
                <w:bCs/>
                <w:sz w:val="20"/>
                <w:szCs w:val="20"/>
              </w:rPr>
            </w:pPr>
          </w:p>
        </w:tc>
        <w:tc>
          <w:tcPr>
            <w:tcW w:w="1983" w:type="dxa"/>
            <w:vMerge/>
            <w:shd w:val="clear" w:color="auto" w:fill="D9D9D9"/>
            <w:vAlign w:val="center"/>
            <w:hideMark/>
          </w:tcPr>
          <w:p w:rsidR="00A627EA" w:rsidRPr="002E571A" w:rsidRDefault="00A627EA" w:rsidP="00E65423">
            <w:pPr>
              <w:rPr>
                <w:rFonts w:cs="Arial"/>
                <w:b/>
                <w:bCs/>
                <w:sz w:val="20"/>
                <w:szCs w:val="20"/>
              </w:rPr>
            </w:pPr>
          </w:p>
        </w:tc>
        <w:tc>
          <w:tcPr>
            <w:tcW w:w="2337" w:type="dxa"/>
            <w:vMerge/>
            <w:shd w:val="clear" w:color="auto" w:fill="D9D9D9"/>
            <w:vAlign w:val="center"/>
            <w:hideMark/>
          </w:tcPr>
          <w:p w:rsidR="00A627EA" w:rsidRPr="002E571A" w:rsidRDefault="00A627EA" w:rsidP="00E65423">
            <w:pPr>
              <w:rPr>
                <w:rFonts w:cs="Arial"/>
                <w:b/>
                <w:bCs/>
                <w:sz w:val="20"/>
                <w:szCs w:val="20"/>
                <w:u w:val="single"/>
              </w:rPr>
            </w:pPr>
          </w:p>
        </w:tc>
      </w:tr>
      <w:tr w:rsidR="00B8471C" w:rsidRPr="002E571A" w:rsidTr="00F85421">
        <w:trPr>
          <w:trHeight w:val="164"/>
          <w:tblHeader/>
        </w:trPr>
        <w:tc>
          <w:tcPr>
            <w:tcW w:w="582" w:type="dxa"/>
            <w:shd w:val="clear" w:color="auto" w:fill="D9D9D9"/>
            <w:noWrap/>
            <w:vAlign w:val="center"/>
          </w:tcPr>
          <w:p w:rsidR="00A627EA" w:rsidRPr="002E571A" w:rsidRDefault="00A627EA" w:rsidP="00E65423">
            <w:pPr>
              <w:rPr>
                <w:rFonts w:cs="Arial"/>
                <w:b/>
                <w:sz w:val="20"/>
                <w:szCs w:val="20"/>
              </w:rPr>
            </w:pPr>
            <w:r w:rsidRPr="002E571A">
              <w:rPr>
                <w:rFonts w:cs="Arial"/>
                <w:b/>
                <w:sz w:val="20"/>
                <w:szCs w:val="20"/>
              </w:rPr>
              <w:t>1</w:t>
            </w:r>
          </w:p>
        </w:tc>
        <w:tc>
          <w:tcPr>
            <w:tcW w:w="2730"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2</w:t>
            </w:r>
          </w:p>
        </w:tc>
        <w:tc>
          <w:tcPr>
            <w:tcW w:w="2631"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3</w:t>
            </w:r>
          </w:p>
        </w:tc>
        <w:tc>
          <w:tcPr>
            <w:tcW w:w="1983"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4</w:t>
            </w:r>
          </w:p>
        </w:tc>
        <w:tc>
          <w:tcPr>
            <w:tcW w:w="2337"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5</w:t>
            </w:r>
          </w:p>
        </w:tc>
      </w:tr>
      <w:tr w:rsidR="00B8471C" w:rsidRPr="002E571A" w:rsidTr="00F85421">
        <w:trPr>
          <w:trHeight w:val="164"/>
        </w:trPr>
        <w:tc>
          <w:tcPr>
            <w:tcW w:w="582" w:type="dxa"/>
            <w:shd w:val="clear" w:color="auto" w:fill="auto"/>
            <w:noWrap/>
            <w:vAlign w:val="center"/>
          </w:tcPr>
          <w:p w:rsidR="00A627EA" w:rsidRPr="00AE32FD" w:rsidRDefault="00A627EA" w:rsidP="00E65423">
            <w:pPr>
              <w:rPr>
                <w:rFonts w:cs="Arial"/>
                <w:sz w:val="20"/>
                <w:szCs w:val="20"/>
              </w:rPr>
            </w:pPr>
            <w:r w:rsidRPr="00AE32FD">
              <w:rPr>
                <w:rFonts w:cs="Arial"/>
                <w:sz w:val="20"/>
                <w:szCs w:val="20"/>
              </w:rPr>
              <w:t>1</w:t>
            </w:r>
          </w:p>
        </w:tc>
        <w:tc>
          <w:tcPr>
            <w:tcW w:w="2730" w:type="dxa"/>
            <w:shd w:val="clear" w:color="auto" w:fill="auto"/>
          </w:tcPr>
          <w:p w:rsidR="00A627EA" w:rsidRPr="00405EFA" w:rsidRDefault="003B3806" w:rsidP="00A627EA">
            <w:pPr>
              <w:autoSpaceDE w:val="0"/>
              <w:rPr>
                <w:rFonts w:cs="Arial"/>
                <w:b/>
                <w:sz w:val="20"/>
                <w:szCs w:val="20"/>
              </w:rPr>
            </w:pPr>
            <w:r w:rsidRPr="003B3806">
              <w:rPr>
                <w:rFonts w:cs="Arial"/>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983" w:type="dxa"/>
            <w:shd w:val="clear" w:color="000000" w:fill="FFFFFF"/>
            <w:vAlign w:val="center"/>
          </w:tcPr>
          <w:p w:rsidR="00A627EA" w:rsidRPr="002E571A" w:rsidRDefault="001773D5" w:rsidP="00E65423">
            <w:pPr>
              <w:rPr>
                <w:rFonts w:cs="Arial"/>
                <w:sz w:val="20"/>
                <w:szCs w:val="20"/>
              </w:rPr>
            </w:pPr>
            <w:r>
              <w:rPr>
                <w:rFonts w:cs="Arial"/>
                <w:sz w:val="20"/>
                <w:szCs w:val="20"/>
              </w:rPr>
              <w:t>Количество лет</w:t>
            </w:r>
          </w:p>
        </w:tc>
        <w:tc>
          <w:tcPr>
            <w:tcW w:w="2337" w:type="dxa"/>
            <w:shd w:val="clear" w:color="auto" w:fill="auto"/>
            <w:vAlign w:val="center"/>
          </w:tcPr>
          <w:p w:rsidR="00A627EA" w:rsidRPr="002E571A" w:rsidRDefault="00821759" w:rsidP="00E65423">
            <w:pPr>
              <w:rPr>
                <w:rFonts w:cs="Arial"/>
                <w:sz w:val="20"/>
                <w:szCs w:val="20"/>
              </w:rPr>
            </w:pPr>
            <w:r>
              <w:rPr>
                <w:rFonts w:cs="Arial"/>
                <w:sz w:val="20"/>
                <w:szCs w:val="20"/>
              </w:rPr>
              <w:t>Опыт работы не менее 3 лет</w:t>
            </w:r>
          </w:p>
        </w:tc>
      </w:tr>
      <w:tr w:rsidR="00B8471C" w:rsidRPr="002E571A" w:rsidTr="00F85421">
        <w:trPr>
          <w:trHeight w:val="164"/>
        </w:trPr>
        <w:tc>
          <w:tcPr>
            <w:tcW w:w="582" w:type="dxa"/>
            <w:shd w:val="clear" w:color="auto" w:fill="auto"/>
            <w:noWrap/>
            <w:vAlign w:val="center"/>
            <w:hideMark/>
          </w:tcPr>
          <w:p w:rsidR="00B8471C" w:rsidRPr="002E571A" w:rsidRDefault="00B8471C" w:rsidP="00E65423">
            <w:pPr>
              <w:rPr>
                <w:rFonts w:cs="Arial"/>
                <w:sz w:val="20"/>
                <w:szCs w:val="20"/>
              </w:rPr>
            </w:pPr>
            <w:r>
              <w:rPr>
                <w:rFonts w:cs="Arial"/>
                <w:sz w:val="20"/>
                <w:szCs w:val="20"/>
              </w:rPr>
              <w:t>2</w:t>
            </w:r>
          </w:p>
        </w:tc>
        <w:tc>
          <w:tcPr>
            <w:tcW w:w="27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Pr="00A627EA" w:rsidRDefault="0034635E" w:rsidP="00A627EA">
            <w:pPr>
              <w:suppressAutoHyphens/>
              <w:autoSpaceDE w:val="0"/>
              <w:ind w:left="34"/>
              <w:rPr>
                <w:rFonts w:cs="Arial"/>
                <w:szCs w:val="22"/>
              </w:rPr>
            </w:pPr>
            <w:r>
              <w:rPr>
                <w:rFonts w:cs="Arial"/>
                <w:szCs w:val="22"/>
              </w:rPr>
              <w:t>строители</w:t>
            </w:r>
            <w:r w:rsidR="00B8471C" w:rsidRPr="00A627EA">
              <w:rPr>
                <w:rFonts w:cs="Arial"/>
                <w:szCs w:val="22"/>
              </w:rPr>
              <w:t xml:space="preserve"> - не менее </w:t>
            </w:r>
            <w:r w:rsidR="00BB5268">
              <w:rPr>
                <w:rFonts w:cs="Arial"/>
                <w:szCs w:val="22"/>
              </w:rPr>
              <w:t>1</w:t>
            </w:r>
            <w:r w:rsidR="00B8471C" w:rsidRPr="00A627EA">
              <w:rPr>
                <w:rFonts w:cs="Arial"/>
                <w:szCs w:val="22"/>
              </w:rPr>
              <w:t>6 чел.;</w:t>
            </w:r>
          </w:p>
          <w:p w:rsidR="00B8471C" w:rsidRDefault="00BB5268" w:rsidP="00A627EA">
            <w:pPr>
              <w:suppressAutoHyphens/>
              <w:autoSpaceDE w:val="0"/>
              <w:ind w:left="34"/>
              <w:rPr>
                <w:rFonts w:cs="Arial"/>
                <w:szCs w:val="22"/>
              </w:rPr>
            </w:pPr>
            <w:r>
              <w:rPr>
                <w:rFonts w:cs="Arial"/>
                <w:szCs w:val="22"/>
              </w:rPr>
              <w:t>связисты, монтажники КИП и А</w:t>
            </w:r>
            <w:r w:rsidR="00B8471C" w:rsidRPr="00A627EA">
              <w:rPr>
                <w:rFonts w:cs="Arial"/>
                <w:szCs w:val="22"/>
              </w:rPr>
              <w:t xml:space="preserve"> - не менее </w:t>
            </w:r>
            <w:r w:rsidR="0034635E">
              <w:rPr>
                <w:rFonts w:cs="Arial"/>
                <w:szCs w:val="22"/>
              </w:rPr>
              <w:t>2</w:t>
            </w:r>
            <w:r>
              <w:rPr>
                <w:rFonts w:cs="Arial"/>
                <w:szCs w:val="22"/>
              </w:rPr>
              <w:t>5</w:t>
            </w:r>
            <w:r w:rsidR="00B8471C" w:rsidRPr="00A627EA">
              <w:rPr>
                <w:rFonts w:cs="Arial"/>
                <w:szCs w:val="22"/>
              </w:rPr>
              <w:t xml:space="preserve"> чел.</w:t>
            </w:r>
            <w:r w:rsidR="003B3806">
              <w:rPr>
                <w:rFonts w:cs="Arial"/>
                <w:szCs w:val="22"/>
              </w:rPr>
              <w:t>;</w:t>
            </w:r>
          </w:p>
          <w:p w:rsidR="00BB5268" w:rsidRDefault="00BB5268" w:rsidP="00BB5268">
            <w:pPr>
              <w:suppressAutoHyphens/>
              <w:autoSpaceDE w:val="0"/>
              <w:ind w:left="34"/>
              <w:rPr>
                <w:rFonts w:cs="Arial"/>
              </w:rPr>
            </w:pPr>
            <w:r>
              <w:rPr>
                <w:rFonts w:cs="Arial"/>
              </w:rPr>
              <w:t>наладчик</w:t>
            </w:r>
            <w:r w:rsidR="003B3806" w:rsidRPr="003B3806">
              <w:rPr>
                <w:rFonts w:cs="Arial"/>
              </w:rPr>
              <w:t xml:space="preserve"> - не менее </w:t>
            </w:r>
            <w:r>
              <w:rPr>
                <w:rFonts w:cs="Arial"/>
              </w:rPr>
              <w:t>6 чел;</w:t>
            </w:r>
          </w:p>
          <w:p w:rsidR="003B3806" w:rsidRPr="005367C6" w:rsidRDefault="00BB5268" w:rsidP="00BB5268">
            <w:pPr>
              <w:suppressAutoHyphens/>
              <w:autoSpaceDE w:val="0"/>
              <w:ind w:left="34"/>
              <w:rPr>
                <w:rFonts w:cs="Arial"/>
              </w:rPr>
            </w:pPr>
            <w:r>
              <w:rPr>
                <w:rFonts w:cs="Arial"/>
              </w:rPr>
              <w:t>программист – не менее 2 чел.</w:t>
            </w:r>
          </w:p>
        </w:tc>
        <w:tc>
          <w:tcPr>
            <w:tcW w:w="2631"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B8471C" w:rsidRPr="002E571A" w:rsidRDefault="00B8471C" w:rsidP="00E65423">
            <w:pPr>
              <w:rPr>
                <w:rFonts w:cs="Arial"/>
                <w:sz w:val="20"/>
                <w:szCs w:val="20"/>
              </w:rPr>
            </w:pPr>
            <w:r>
              <w:rPr>
                <w:rFonts w:cs="Arial"/>
                <w:sz w:val="20"/>
                <w:szCs w:val="20"/>
              </w:rPr>
              <w:t>Наличие/отсутствие</w:t>
            </w:r>
          </w:p>
        </w:tc>
        <w:tc>
          <w:tcPr>
            <w:tcW w:w="2337" w:type="dxa"/>
            <w:shd w:val="clear" w:color="auto" w:fill="auto"/>
            <w:vAlign w:val="center"/>
          </w:tcPr>
          <w:p w:rsidR="00821759" w:rsidRPr="00A627EA" w:rsidRDefault="00B8471C" w:rsidP="00821759">
            <w:pPr>
              <w:suppressAutoHyphens/>
              <w:autoSpaceDE w:val="0"/>
              <w:ind w:left="34"/>
              <w:rPr>
                <w:rFonts w:cs="Arial"/>
                <w:szCs w:val="22"/>
              </w:rPr>
            </w:pPr>
            <w:r w:rsidRPr="0034635E">
              <w:rPr>
                <w:rFonts w:cs="Arial"/>
              </w:rPr>
              <w:t>Наличие</w:t>
            </w:r>
            <w:r w:rsidR="00821759" w:rsidRPr="0034635E">
              <w:rPr>
                <w:rFonts w:cs="Arial"/>
              </w:rPr>
              <w:t xml:space="preserve"> </w:t>
            </w:r>
            <w:r w:rsidR="00821759" w:rsidRPr="00A627EA">
              <w:rPr>
                <w:rFonts w:cs="Arial"/>
                <w:szCs w:val="22"/>
              </w:rPr>
              <w:t>рабочи</w:t>
            </w:r>
            <w:r w:rsidR="00821759">
              <w:rPr>
                <w:rFonts w:cs="Arial"/>
                <w:szCs w:val="22"/>
              </w:rPr>
              <w:t>х</w:t>
            </w:r>
            <w:r w:rsidR="00821759" w:rsidRPr="00A627EA">
              <w:rPr>
                <w:rFonts w:cs="Arial"/>
                <w:szCs w:val="22"/>
              </w:rPr>
              <w:t>:</w:t>
            </w:r>
          </w:p>
          <w:p w:rsidR="00BB5268" w:rsidRPr="00A627EA" w:rsidRDefault="00BB5268" w:rsidP="00BB5268">
            <w:pPr>
              <w:suppressAutoHyphens/>
              <w:autoSpaceDE w:val="0"/>
              <w:ind w:left="34"/>
              <w:rPr>
                <w:rFonts w:cs="Arial"/>
                <w:szCs w:val="22"/>
              </w:rPr>
            </w:pPr>
            <w:r>
              <w:rPr>
                <w:rFonts w:cs="Arial"/>
                <w:szCs w:val="22"/>
              </w:rPr>
              <w:t>строители</w:t>
            </w:r>
            <w:r w:rsidRPr="00A627EA">
              <w:rPr>
                <w:rFonts w:cs="Arial"/>
                <w:szCs w:val="22"/>
              </w:rPr>
              <w:t xml:space="preserve"> - не менее </w:t>
            </w:r>
            <w:r>
              <w:rPr>
                <w:rFonts w:cs="Arial"/>
                <w:szCs w:val="22"/>
              </w:rPr>
              <w:t>1</w:t>
            </w:r>
            <w:r w:rsidRPr="00A627EA">
              <w:rPr>
                <w:rFonts w:cs="Arial"/>
                <w:szCs w:val="22"/>
              </w:rPr>
              <w:t>6 чел.;</w:t>
            </w:r>
          </w:p>
          <w:p w:rsidR="00BB5268" w:rsidRDefault="00BB5268" w:rsidP="00BB5268">
            <w:pPr>
              <w:suppressAutoHyphens/>
              <w:autoSpaceDE w:val="0"/>
              <w:ind w:left="34"/>
              <w:rPr>
                <w:rFonts w:cs="Arial"/>
                <w:szCs w:val="22"/>
              </w:rPr>
            </w:pPr>
            <w:r>
              <w:rPr>
                <w:rFonts w:cs="Arial"/>
                <w:szCs w:val="22"/>
              </w:rPr>
              <w:t>связисты, монтажники КИП и А</w:t>
            </w:r>
            <w:r w:rsidRPr="00A627EA">
              <w:rPr>
                <w:rFonts w:cs="Arial"/>
                <w:szCs w:val="22"/>
              </w:rPr>
              <w:t xml:space="preserve"> - не менее </w:t>
            </w:r>
            <w:r>
              <w:rPr>
                <w:rFonts w:cs="Arial"/>
                <w:szCs w:val="22"/>
              </w:rPr>
              <w:t>25</w:t>
            </w:r>
            <w:r w:rsidRPr="00A627EA">
              <w:rPr>
                <w:rFonts w:cs="Arial"/>
                <w:szCs w:val="22"/>
              </w:rPr>
              <w:t xml:space="preserve"> чел.</w:t>
            </w:r>
            <w:r>
              <w:rPr>
                <w:rFonts w:cs="Arial"/>
                <w:szCs w:val="22"/>
              </w:rPr>
              <w:t>;</w:t>
            </w:r>
          </w:p>
          <w:p w:rsidR="00BB5268" w:rsidRDefault="00BB5268" w:rsidP="00BB5268">
            <w:pPr>
              <w:suppressAutoHyphens/>
              <w:autoSpaceDE w:val="0"/>
              <w:ind w:left="34"/>
              <w:rPr>
                <w:rFonts w:cs="Arial"/>
              </w:rPr>
            </w:pPr>
            <w:r>
              <w:rPr>
                <w:rFonts w:cs="Arial"/>
              </w:rPr>
              <w:t>наладчик</w:t>
            </w:r>
            <w:r w:rsidRPr="003B3806">
              <w:rPr>
                <w:rFonts w:cs="Arial"/>
              </w:rPr>
              <w:t xml:space="preserve"> - не менее </w:t>
            </w:r>
            <w:r>
              <w:rPr>
                <w:rFonts w:cs="Arial"/>
              </w:rPr>
              <w:t>6 чел;</w:t>
            </w:r>
          </w:p>
          <w:p w:rsidR="00B8471C" w:rsidRPr="002E571A" w:rsidRDefault="00BB5268" w:rsidP="00BB5268">
            <w:pPr>
              <w:rPr>
                <w:rFonts w:cs="Arial"/>
                <w:sz w:val="20"/>
                <w:szCs w:val="20"/>
              </w:rPr>
            </w:pPr>
            <w:r>
              <w:rPr>
                <w:rFonts w:cs="Arial"/>
              </w:rPr>
              <w:t>программист – не менее 2 чел.</w:t>
            </w:r>
          </w:p>
        </w:tc>
      </w:tr>
      <w:tr w:rsidR="00BB5268" w:rsidRPr="002E571A" w:rsidTr="005D769F">
        <w:trPr>
          <w:trHeight w:val="196"/>
        </w:trPr>
        <w:tc>
          <w:tcPr>
            <w:tcW w:w="582" w:type="dxa"/>
            <w:shd w:val="clear" w:color="auto" w:fill="auto"/>
            <w:noWrap/>
            <w:vAlign w:val="center"/>
          </w:tcPr>
          <w:p w:rsidR="00BB5268" w:rsidRPr="002E571A" w:rsidRDefault="00BB5268" w:rsidP="003C7E5E">
            <w:pPr>
              <w:rPr>
                <w:rFonts w:cs="Arial"/>
                <w:sz w:val="20"/>
                <w:szCs w:val="20"/>
              </w:rPr>
            </w:pPr>
            <w:r>
              <w:rPr>
                <w:rFonts w:cs="Arial"/>
                <w:sz w:val="20"/>
                <w:szCs w:val="20"/>
              </w:rPr>
              <w:t>3</w:t>
            </w:r>
          </w:p>
        </w:tc>
        <w:tc>
          <w:tcPr>
            <w:tcW w:w="2730" w:type="dxa"/>
            <w:shd w:val="clear" w:color="auto" w:fill="auto"/>
            <w:vAlign w:val="center"/>
          </w:tcPr>
          <w:p w:rsidR="00BB5268" w:rsidRPr="005367C6" w:rsidRDefault="00BB5268" w:rsidP="008413F9">
            <w:pPr>
              <w:suppressAutoHyphens/>
              <w:autoSpaceDE w:val="0"/>
              <w:ind w:left="34"/>
              <w:jc w:val="both"/>
              <w:rPr>
                <w:rFonts w:cs="Arial"/>
              </w:rPr>
            </w:pPr>
            <w:r w:rsidRPr="00A627EA">
              <w:rPr>
                <w:rFonts w:cs="Arial"/>
                <w:szCs w:val="22"/>
              </w:rPr>
              <w:t xml:space="preserve">Выполнение работ собственными силами Генподрядчика в объеме не менее </w:t>
            </w:r>
            <w:r>
              <w:rPr>
                <w:rFonts w:cs="Arial"/>
                <w:szCs w:val="22"/>
              </w:rPr>
              <w:t>7</w:t>
            </w:r>
            <w:r w:rsidRPr="00A627EA">
              <w:rPr>
                <w:rFonts w:cs="Arial"/>
                <w:szCs w:val="22"/>
              </w:rPr>
              <w:t>0%</w:t>
            </w:r>
          </w:p>
        </w:tc>
        <w:tc>
          <w:tcPr>
            <w:tcW w:w="2631" w:type="dxa"/>
            <w:shd w:val="clear" w:color="auto" w:fill="auto"/>
            <w:vAlign w:val="center"/>
          </w:tcPr>
          <w:p w:rsidR="00BB5268" w:rsidRPr="005367C6" w:rsidRDefault="00BB5268" w:rsidP="008413F9">
            <w:pPr>
              <w:suppressAutoHyphens/>
              <w:autoSpaceDE w:val="0"/>
              <w:ind w:left="34"/>
              <w:jc w:val="both"/>
              <w:rPr>
                <w:rFonts w:cs="Arial"/>
              </w:rPr>
            </w:pPr>
            <w:r w:rsidRPr="00A627EA">
              <w:rPr>
                <w:rFonts w:cs="Arial"/>
                <w:szCs w:val="22"/>
              </w:rPr>
              <w:t xml:space="preserve">Гарантийное письмо о выполнении работ собственными силами Генподрядчика в объеме не менее </w:t>
            </w:r>
            <w:r>
              <w:rPr>
                <w:rFonts w:cs="Arial"/>
                <w:szCs w:val="22"/>
              </w:rPr>
              <w:t>7</w:t>
            </w:r>
            <w:r w:rsidRPr="00A627EA">
              <w:rPr>
                <w:rFonts w:cs="Arial"/>
                <w:szCs w:val="22"/>
              </w:rPr>
              <w:t>0%</w:t>
            </w:r>
          </w:p>
        </w:tc>
        <w:tc>
          <w:tcPr>
            <w:tcW w:w="1983" w:type="dxa"/>
            <w:shd w:val="clear" w:color="000000" w:fill="FFFFFF"/>
            <w:vAlign w:val="center"/>
          </w:tcPr>
          <w:p w:rsidR="00BB5268" w:rsidRPr="002E571A" w:rsidRDefault="00BB5268" w:rsidP="008413F9">
            <w:pPr>
              <w:rPr>
                <w:rFonts w:cs="Arial"/>
                <w:sz w:val="20"/>
                <w:szCs w:val="20"/>
              </w:rPr>
            </w:pPr>
            <w:r>
              <w:rPr>
                <w:rFonts w:cs="Arial"/>
                <w:sz w:val="20"/>
                <w:szCs w:val="20"/>
              </w:rPr>
              <w:t>Да/нет</w:t>
            </w:r>
          </w:p>
        </w:tc>
        <w:tc>
          <w:tcPr>
            <w:tcW w:w="2337" w:type="dxa"/>
            <w:shd w:val="clear" w:color="000000" w:fill="FFFFFF"/>
            <w:vAlign w:val="center"/>
          </w:tcPr>
          <w:p w:rsidR="00BB5268" w:rsidRPr="002E571A" w:rsidRDefault="00BB5268" w:rsidP="008413F9">
            <w:pPr>
              <w:rPr>
                <w:rFonts w:cs="Arial"/>
                <w:sz w:val="20"/>
                <w:szCs w:val="20"/>
              </w:rPr>
            </w:pPr>
            <w:r>
              <w:rPr>
                <w:rFonts w:cs="Arial"/>
                <w:sz w:val="20"/>
                <w:szCs w:val="20"/>
              </w:rPr>
              <w:t>70% и более</w:t>
            </w:r>
          </w:p>
        </w:tc>
      </w:tr>
      <w:tr w:rsidR="00190884" w:rsidRPr="002E571A" w:rsidTr="00666DC8">
        <w:trPr>
          <w:trHeight w:val="196"/>
        </w:trPr>
        <w:tc>
          <w:tcPr>
            <w:tcW w:w="582" w:type="dxa"/>
            <w:shd w:val="clear" w:color="auto" w:fill="auto"/>
            <w:noWrap/>
            <w:vAlign w:val="center"/>
          </w:tcPr>
          <w:p w:rsidR="00190884" w:rsidRPr="002E571A" w:rsidRDefault="00190884" w:rsidP="003C7E5E">
            <w:pPr>
              <w:rPr>
                <w:rFonts w:cs="Arial"/>
                <w:sz w:val="20"/>
                <w:szCs w:val="20"/>
              </w:rPr>
            </w:pPr>
            <w:r>
              <w:rPr>
                <w:rFonts w:cs="Arial"/>
                <w:sz w:val="20"/>
                <w:szCs w:val="20"/>
              </w:rPr>
              <w:t>4</w:t>
            </w:r>
          </w:p>
        </w:tc>
        <w:tc>
          <w:tcPr>
            <w:tcW w:w="2730" w:type="dxa"/>
            <w:shd w:val="clear" w:color="auto" w:fill="auto"/>
            <w:vAlign w:val="center"/>
          </w:tcPr>
          <w:p w:rsidR="00190884" w:rsidRPr="002E571A" w:rsidRDefault="00190884" w:rsidP="00BF37F1">
            <w:pPr>
              <w:autoSpaceDE w:val="0"/>
              <w:jc w:val="both"/>
              <w:rPr>
                <w:rFonts w:cs="Arial"/>
                <w:sz w:val="20"/>
                <w:szCs w:val="20"/>
              </w:rPr>
            </w:pPr>
            <w:r w:rsidRPr="00A627EA">
              <w:rPr>
                <w:rFonts w:cs="Arial"/>
                <w:szCs w:val="22"/>
              </w:rPr>
              <w:t>Среднегодовой оборот  за последние 3 года (201</w:t>
            </w:r>
            <w:r>
              <w:rPr>
                <w:rFonts w:cs="Arial"/>
                <w:szCs w:val="22"/>
              </w:rPr>
              <w:t>3</w:t>
            </w:r>
            <w:r w:rsidRPr="00A627EA">
              <w:rPr>
                <w:rFonts w:cs="Arial"/>
                <w:szCs w:val="22"/>
              </w:rPr>
              <w:t>, 201</w:t>
            </w:r>
            <w:r>
              <w:rPr>
                <w:rFonts w:cs="Arial"/>
                <w:szCs w:val="22"/>
              </w:rPr>
              <w:t>4</w:t>
            </w:r>
            <w:r w:rsidRPr="00A627EA">
              <w:rPr>
                <w:rFonts w:cs="Arial"/>
                <w:szCs w:val="22"/>
              </w:rPr>
              <w:t>, 201</w:t>
            </w:r>
            <w:r>
              <w:rPr>
                <w:rFonts w:cs="Arial"/>
                <w:szCs w:val="22"/>
              </w:rPr>
              <w:t>5</w:t>
            </w:r>
            <w:r w:rsidRPr="00A627EA">
              <w:rPr>
                <w:rFonts w:cs="Arial"/>
                <w:szCs w:val="22"/>
              </w:rPr>
              <w:t xml:space="preserve"> гг)</w:t>
            </w:r>
          </w:p>
        </w:tc>
        <w:tc>
          <w:tcPr>
            <w:tcW w:w="2631" w:type="dxa"/>
            <w:shd w:val="clear" w:color="auto" w:fill="auto"/>
            <w:vAlign w:val="center"/>
          </w:tcPr>
          <w:p w:rsidR="00190884" w:rsidRPr="00E652B9" w:rsidRDefault="00190884" w:rsidP="00244108">
            <w:pPr>
              <w:autoSpaceDE w:val="0"/>
              <w:jc w:val="both"/>
              <w:rPr>
                <w:rFonts w:cs="Arial"/>
              </w:rPr>
            </w:pPr>
            <w:r w:rsidRPr="00A627EA">
              <w:rPr>
                <w:rFonts w:cs="Arial"/>
                <w:szCs w:val="22"/>
              </w:rPr>
              <w:t>Заверенная копия «Отчета о прибылях и убытках» (за последние 3 года – 201</w:t>
            </w:r>
            <w:r>
              <w:rPr>
                <w:rFonts w:cs="Arial"/>
                <w:szCs w:val="22"/>
              </w:rPr>
              <w:t>3</w:t>
            </w:r>
            <w:r w:rsidRPr="00A627EA">
              <w:rPr>
                <w:rFonts w:cs="Arial"/>
                <w:szCs w:val="22"/>
              </w:rPr>
              <w:t>,201</w:t>
            </w:r>
            <w:r>
              <w:rPr>
                <w:rFonts w:cs="Arial"/>
                <w:szCs w:val="22"/>
              </w:rPr>
              <w:t>4</w:t>
            </w:r>
            <w:r w:rsidRPr="00A627EA">
              <w:rPr>
                <w:rFonts w:cs="Arial"/>
                <w:szCs w:val="22"/>
              </w:rPr>
              <w:t>,201</w:t>
            </w:r>
            <w:r>
              <w:rPr>
                <w:rFonts w:cs="Arial"/>
                <w:szCs w:val="22"/>
              </w:rPr>
              <w:t>5</w:t>
            </w:r>
            <w:r w:rsidRPr="00A627EA">
              <w:rPr>
                <w:rFonts w:cs="Arial"/>
                <w:szCs w:val="22"/>
              </w:rPr>
              <w:t xml:space="preserve"> гг)</w:t>
            </w:r>
          </w:p>
        </w:tc>
        <w:tc>
          <w:tcPr>
            <w:tcW w:w="1983" w:type="dxa"/>
            <w:shd w:val="clear" w:color="000000" w:fill="FFFFFF"/>
            <w:vAlign w:val="center"/>
          </w:tcPr>
          <w:p w:rsidR="00190884" w:rsidRPr="002E571A" w:rsidRDefault="00190884" w:rsidP="00244108">
            <w:pPr>
              <w:rPr>
                <w:rFonts w:cs="Arial"/>
                <w:sz w:val="20"/>
                <w:szCs w:val="20"/>
              </w:rPr>
            </w:pPr>
            <w:r w:rsidRPr="00190884">
              <w:rPr>
                <w:rFonts w:cs="Arial"/>
                <w:sz w:val="20"/>
                <w:szCs w:val="20"/>
              </w:rPr>
              <w:t>млн. руб. без НДС</w:t>
            </w:r>
          </w:p>
        </w:tc>
        <w:tc>
          <w:tcPr>
            <w:tcW w:w="2337" w:type="dxa"/>
            <w:shd w:val="clear" w:color="000000" w:fill="FFFFFF"/>
            <w:vAlign w:val="center"/>
          </w:tcPr>
          <w:p w:rsidR="00190884" w:rsidRPr="002E571A" w:rsidRDefault="00190884" w:rsidP="00244108">
            <w:pPr>
              <w:rPr>
                <w:rFonts w:cs="Arial"/>
                <w:sz w:val="20"/>
                <w:szCs w:val="20"/>
              </w:rPr>
            </w:pPr>
            <w:r>
              <w:rPr>
                <w:rFonts w:cs="Arial"/>
                <w:szCs w:val="22"/>
              </w:rPr>
              <w:t>Не менее 15</w:t>
            </w:r>
            <w:r w:rsidRPr="00A627EA">
              <w:rPr>
                <w:rFonts w:cs="Arial"/>
                <w:szCs w:val="22"/>
              </w:rPr>
              <w:t>0 млн. руб. без НДС</w:t>
            </w:r>
            <w:r>
              <w:rPr>
                <w:rFonts w:cs="Arial"/>
                <w:szCs w:val="22"/>
              </w:rPr>
              <w:t xml:space="preserve"> </w:t>
            </w:r>
          </w:p>
        </w:tc>
      </w:tr>
      <w:tr w:rsidR="00190884" w:rsidRPr="002E571A" w:rsidTr="00F85421">
        <w:trPr>
          <w:trHeight w:val="196"/>
        </w:trPr>
        <w:tc>
          <w:tcPr>
            <w:tcW w:w="582" w:type="dxa"/>
            <w:shd w:val="clear" w:color="auto" w:fill="auto"/>
            <w:noWrap/>
            <w:vAlign w:val="center"/>
          </w:tcPr>
          <w:p w:rsidR="00190884" w:rsidRDefault="00190884" w:rsidP="003C7E5E">
            <w:pPr>
              <w:rPr>
                <w:rFonts w:cs="Arial"/>
                <w:sz w:val="20"/>
                <w:szCs w:val="20"/>
              </w:rPr>
            </w:pPr>
            <w:r>
              <w:rPr>
                <w:rFonts w:cs="Arial"/>
                <w:sz w:val="20"/>
                <w:szCs w:val="20"/>
              </w:rPr>
              <w:t>5</w:t>
            </w:r>
          </w:p>
        </w:tc>
        <w:tc>
          <w:tcPr>
            <w:tcW w:w="2730" w:type="dxa"/>
            <w:shd w:val="clear" w:color="auto" w:fill="auto"/>
            <w:vAlign w:val="center"/>
          </w:tcPr>
          <w:p w:rsidR="00190884" w:rsidRPr="002E571A" w:rsidRDefault="00190884" w:rsidP="008F3A4C">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190884" w:rsidRPr="00743ECF" w:rsidRDefault="00190884" w:rsidP="008F3A4C">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83" w:type="dxa"/>
            <w:shd w:val="clear" w:color="000000" w:fill="FFFFFF"/>
            <w:vAlign w:val="center"/>
          </w:tcPr>
          <w:p w:rsidR="00190884" w:rsidRPr="002E571A" w:rsidRDefault="00190884" w:rsidP="008F3A4C">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8F3A4C">
            <w:pPr>
              <w:rPr>
                <w:rFonts w:cs="Arial"/>
                <w:sz w:val="20"/>
                <w:szCs w:val="20"/>
              </w:rPr>
            </w:pPr>
            <w:r>
              <w:rPr>
                <w:rFonts w:cs="Arial"/>
                <w:sz w:val="20"/>
                <w:szCs w:val="20"/>
              </w:rPr>
              <w:t>Наличие</w:t>
            </w:r>
          </w:p>
        </w:tc>
      </w:tr>
      <w:tr w:rsidR="00190884" w:rsidRPr="002E571A" w:rsidTr="00F85421">
        <w:trPr>
          <w:trHeight w:val="196"/>
        </w:trPr>
        <w:tc>
          <w:tcPr>
            <w:tcW w:w="582" w:type="dxa"/>
            <w:shd w:val="clear" w:color="auto" w:fill="auto"/>
            <w:noWrap/>
            <w:vAlign w:val="center"/>
          </w:tcPr>
          <w:p w:rsidR="00190884" w:rsidRPr="00AE32FD" w:rsidRDefault="00190884" w:rsidP="003C7E5E">
            <w:pPr>
              <w:rPr>
                <w:rFonts w:cs="Arial"/>
                <w:sz w:val="20"/>
                <w:szCs w:val="20"/>
              </w:rPr>
            </w:pPr>
            <w:r>
              <w:rPr>
                <w:rFonts w:cs="Arial"/>
                <w:sz w:val="20"/>
                <w:szCs w:val="20"/>
              </w:rPr>
              <w:t>6</w:t>
            </w:r>
          </w:p>
        </w:tc>
        <w:tc>
          <w:tcPr>
            <w:tcW w:w="2730" w:type="dxa"/>
            <w:shd w:val="clear" w:color="auto" w:fill="auto"/>
            <w:vAlign w:val="center"/>
          </w:tcPr>
          <w:p w:rsidR="00190884" w:rsidRPr="002E571A" w:rsidRDefault="00190884" w:rsidP="00297318">
            <w:pPr>
              <w:autoSpaceDE w:val="0"/>
              <w:jc w:val="both"/>
              <w:rPr>
                <w:rFonts w:cs="Arial"/>
                <w:sz w:val="20"/>
                <w:szCs w:val="20"/>
              </w:rPr>
            </w:pPr>
            <w:r w:rsidRPr="00A627EA">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31" w:type="dxa"/>
            <w:shd w:val="clear" w:color="auto" w:fill="auto"/>
            <w:vAlign w:val="center"/>
          </w:tcPr>
          <w:p w:rsidR="00190884" w:rsidRPr="002E571A" w:rsidRDefault="00190884" w:rsidP="00297318">
            <w:pPr>
              <w:rPr>
                <w:rFonts w:cs="Arial"/>
                <w:sz w:val="20"/>
                <w:szCs w:val="20"/>
              </w:rPr>
            </w:pPr>
            <w:r w:rsidRPr="00A627E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83" w:type="dxa"/>
            <w:shd w:val="clear" w:color="000000" w:fill="FFFFFF"/>
            <w:vAlign w:val="center"/>
          </w:tcPr>
          <w:p w:rsidR="00190884" w:rsidRPr="002E571A" w:rsidRDefault="00190884" w:rsidP="00297318">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297318">
            <w:pPr>
              <w:rPr>
                <w:rFonts w:cs="Arial"/>
                <w:sz w:val="20"/>
                <w:szCs w:val="20"/>
              </w:rPr>
            </w:pPr>
            <w:r>
              <w:rPr>
                <w:rFonts w:cs="Arial"/>
                <w:sz w:val="20"/>
                <w:szCs w:val="20"/>
              </w:rPr>
              <w:t>Отсутствие</w:t>
            </w:r>
          </w:p>
        </w:tc>
      </w:tr>
      <w:tr w:rsidR="00190884" w:rsidRPr="002E571A" w:rsidTr="00F85421">
        <w:trPr>
          <w:trHeight w:val="196"/>
        </w:trPr>
        <w:tc>
          <w:tcPr>
            <w:tcW w:w="582" w:type="dxa"/>
            <w:shd w:val="clear" w:color="auto" w:fill="auto"/>
            <w:noWrap/>
            <w:vAlign w:val="center"/>
          </w:tcPr>
          <w:p w:rsidR="00190884" w:rsidRPr="002E571A" w:rsidRDefault="00190884" w:rsidP="003C7E5E">
            <w:pPr>
              <w:rPr>
                <w:rFonts w:cs="Arial"/>
                <w:sz w:val="20"/>
                <w:szCs w:val="20"/>
              </w:rPr>
            </w:pPr>
            <w:r>
              <w:rPr>
                <w:rFonts w:cs="Arial"/>
                <w:sz w:val="20"/>
                <w:szCs w:val="20"/>
              </w:rPr>
              <w:t>7</w:t>
            </w:r>
          </w:p>
        </w:tc>
        <w:tc>
          <w:tcPr>
            <w:tcW w:w="2730" w:type="dxa"/>
            <w:shd w:val="clear" w:color="auto" w:fill="auto"/>
            <w:vAlign w:val="center"/>
          </w:tcPr>
          <w:p w:rsidR="00190884" w:rsidRPr="002E571A" w:rsidRDefault="00BF37F1" w:rsidP="002E42E3">
            <w:pPr>
              <w:rPr>
                <w:rFonts w:cs="Arial"/>
                <w:sz w:val="20"/>
                <w:szCs w:val="20"/>
              </w:rPr>
            </w:pPr>
            <w:r w:rsidRPr="00BF37F1">
              <w:rPr>
                <w:rFonts w:cs="Arial"/>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особо опасных и технически сложных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w:t>
            </w:r>
          </w:p>
        </w:tc>
        <w:tc>
          <w:tcPr>
            <w:tcW w:w="2631" w:type="dxa"/>
            <w:shd w:val="clear" w:color="auto" w:fill="auto"/>
            <w:vAlign w:val="center"/>
          </w:tcPr>
          <w:p w:rsidR="00190884" w:rsidRPr="002E571A" w:rsidRDefault="00190884" w:rsidP="002E42E3">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190884" w:rsidRPr="002E571A" w:rsidRDefault="00190884" w:rsidP="002E42E3">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2E42E3">
            <w:pPr>
              <w:rPr>
                <w:rFonts w:cs="Arial"/>
                <w:sz w:val="20"/>
                <w:szCs w:val="20"/>
              </w:rPr>
            </w:pPr>
            <w:r>
              <w:rPr>
                <w:rFonts w:cs="Arial"/>
                <w:sz w:val="20"/>
                <w:szCs w:val="20"/>
              </w:rPr>
              <w:t>Наличие</w:t>
            </w:r>
          </w:p>
        </w:tc>
      </w:tr>
      <w:tr w:rsidR="00190884" w:rsidRPr="002E571A" w:rsidTr="00F85421">
        <w:trPr>
          <w:trHeight w:val="196"/>
        </w:trPr>
        <w:tc>
          <w:tcPr>
            <w:tcW w:w="582" w:type="dxa"/>
            <w:shd w:val="clear" w:color="auto" w:fill="auto"/>
            <w:noWrap/>
            <w:vAlign w:val="center"/>
          </w:tcPr>
          <w:p w:rsidR="00190884" w:rsidRPr="002E571A" w:rsidRDefault="00190884" w:rsidP="003C7E5E">
            <w:pPr>
              <w:rPr>
                <w:rFonts w:cs="Arial"/>
                <w:sz w:val="20"/>
                <w:szCs w:val="20"/>
              </w:rPr>
            </w:pPr>
            <w:r>
              <w:rPr>
                <w:rFonts w:cs="Arial"/>
                <w:sz w:val="20"/>
                <w:szCs w:val="20"/>
              </w:rPr>
              <w:t>8</w:t>
            </w:r>
          </w:p>
        </w:tc>
        <w:tc>
          <w:tcPr>
            <w:tcW w:w="2730" w:type="dxa"/>
            <w:shd w:val="clear" w:color="auto" w:fill="auto"/>
            <w:vAlign w:val="center"/>
          </w:tcPr>
          <w:p w:rsidR="00190884" w:rsidRPr="00EF1336" w:rsidRDefault="00190884" w:rsidP="009B7F2B">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2631" w:type="dxa"/>
            <w:shd w:val="clear" w:color="auto" w:fill="auto"/>
            <w:vAlign w:val="center"/>
          </w:tcPr>
          <w:p w:rsidR="00190884" w:rsidRPr="002E571A" w:rsidRDefault="00190884" w:rsidP="009B7F2B">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83" w:type="dxa"/>
            <w:shd w:val="clear" w:color="000000" w:fill="FFFFFF"/>
            <w:vAlign w:val="center"/>
          </w:tcPr>
          <w:p w:rsidR="00190884" w:rsidRPr="002E571A" w:rsidRDefault="00190884" w:rsidP="009B7F2B">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9B7F2B">
            <w:pPr>
              <w:rPr>
                <w:rFonts w:cs="Arial"/>
                <w:sz w:val="20"/>
                <w:szCs w:val="20"/>
              </w:rPr>
            </w:pPr>
            <w:r>
              <w:rPr>
                <w:rFonts w:cs="Arial"/>
                <w:sz w:val="20"/>
                <w:szCs w:val="20"/>
              </w:rPr>
              <w:t>Наличие</w:t>
            </w:r>
          </w:p>
        </w:tc>
      </w:tr>
      <w:tr w:rsidR="00190884" w:rsidRPr="002E571A" w:rsidTr="00F85421">
        <w:trPr>
          <w:trHeight w:val="196"/>
        </w:trPr>
        <w:tc>
          <w:tcPr>
            <w:tcW w:w="582" w:type="dxa"/>
            <w:shd w:val="clear" w:color="auto" w:fill="auto"/>
            <w:noWrap/>
            <w:vAlign w:val="center"/>
          </w:tcPr>
          <w:p w:rsidR="00190884" w:rsidRPr="002E571A" w:rsidRDefault="00190884" w:rsidP="003C7E5E">
            <w:pPr>
              <w:rPr>
                <w:rFonts w:cs="Arial"/>
                <w:sz w:val="20"/>
                <w:szCs w:val="20"/>
              </w:rPr>
            </w:pPr>
            <w:r>
              <w:rPr>
                <w:rFonts w:cs="Arial"/>
                <w:sz w:val="20"/>
                <w:szCs w:val="20"/>
              </w:rPr>
              <w:t>9</w:t>
            </w:r>
          </w:p>
        </w:tc>
        <w:tc>
          <w:tcPr>
            <w:tcW w:w="2730" w:type="dxa"/>
            <w:shd w:val="clear" w:color="auto" w:fill="auto"/>
            <w:vAlign w:val="center"/>
          </w:tcPr>
          <w:p w:rsidR="00190884" w:rsidRPr="00D6472E" w:rsidRDefault="00190884" w:rsidP="00300DA8">
            <w:pPr>
              <w:rPr>
                <w:rFonts w:cs="Arial"/>
              </w:rPr>
            </w:pPr>
            <w:r w:rsidRPr="00B8471C">
              <w:rPr>
                <w:rFonts w:cs="Arial"/>
                <w:szCs w:val="22"/>
              </w:rPr>
              <w:t>Наличие сертифицированной системы управления охраной труда</w:t>
            </w:r>
          </w:p>
        </w:tc>
        <w:tc>
          <w:tcPr>
            <w:tcW w:w="2631" w:type="dxa"/>
            <w:shd w:val="clear" w:color="auto" w:fill="auto"/>
            <w:vAlign w:val="center"/>
          </w:tcPr>
          <w:p w:rsidR="00190884" w:rsidRPr="002E571A" w:rsidRDefault="00190884" w:rsidP="00300DA8">
            <w:pPr>
              <w:rPr>
                <w:rFonts w:cs="Arial"/>
                <w:sz w:val="20"/>
                <w:szCs w:val="20"/>
              </w:rPr>
            </w:pPr>
            <w:r w:rsidRPr="00B8471C">
              <w:rPr>
                <w:rFonts w:cs="Arial"/>
                <w:szCs w:val="22"/>
              </w:rPr>
              <w:t>Заверенная копия свидетельства ISO 14001:2004, OHSAS 18001:2007</w:t>
            </w:r>
          </w:p>
        </w:tc>
        <w:tc>
          <w:tcPr>
            <w:tcW w:w="1983" w:type="dxa"/>
            <w:shd w:val="clear" w:color="000000" w:fill="FFFFFF"/>
            <w:vAlign w:val="center"/>
          </w:tcPr>
          <w:p w:rsidR="00190884" w:rsidRPr="002E571A" w:rsidRDefault="00190884" w:rsidP="00300DA8">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300DA8">
            <w:pPr>
              <w:rPr>
                <w:rFonts w:cs="Arial"/>
                <w:sz w:val="20"/>
                <w:szCs w:val="20"/>
              </w:rPr>
            </w:pPr>
            <w:r>
              <w:rPr>
                <w:rFonts w:cs="Arial"/>
                <w:sz w:val="20"/>
                <w:szCs w:val="20"/>
              </w:rPr>
              <w:t>Наличие</w:t>
            </w:r>
          </w:p>
        </w:tc>
      </w:tr>
      <w:tr w:rsidR="00190884" w:rsidRPr="002E571A" w:rsidTr="00F85421">
        <w:trPr>
          <w:trHeight w:val="196"/>
        </w:trPr>
        <w:tc>
          <w:tcPr>
            <w:tcW w:w="582" w:type="dxa"/>
            <w:shd w:val="clear" w:color="auto" w:fill="auto"/>
            <w:noWrap/>
            <w:vAlign w:val="center"/>
          </w:tcPr>
          <w:p w:rsidR="00190884" w:rsidRDefault="00190884" w:rsidP="003C7E5E">
            <w:pPr>
              <w:rPr>
                <w:rFonts w:cs="Arial"/>
                <w:sz w:val="20"/>
                <w:szCs w:val="20"/>
              </w:rPr>
            </w:pPr>
            <w:r>
              <w:rPr>
                <w:rFonts w:cs="Arial"/>
                <w:sz w:val="20"/>
                <w:szCs w:val="20"/>
              </w:rPr>
              <w:t>10</w:t>
            </w:r>
          </w:p>
        </w:tc>
        <w:tc>
          <w:tcPr>
            <w:tcW w:w="2730" w:type="dxa"/>
            <w:shd w:val="clear" w:color="auto" w:fill="auto"/>
            <w:vAlign w:val="center"/>
          </w:tcPr>
          <w:p w:rsidR="00190884" w:rsidRPr="00E93158" w:rsidRDefault="00190884" w:rsidP="005578B6">
            <w:r w:rsidRPr="00E93158">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w:t>
            </w:r>
          </w:p>
          <w:p w:rsidR="00190884" w:rsidRPr="00E93158" w:rsidRDefault="00190884" w:rsidP="005578B6">
            <w:pPr>
              <w:rPr>
                <w:rFonts w:cs="Arial"/>
                <w:strike/>
                <w:szCs w:val="22"/>
                <w:highlight w:val="yellow"/>
              </w:rPr>
            </w:pPr>
            <w:r w:rsidRPr="00E93158">
              <w:t>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2631" w:type="dxa"/>
            <w:shd w:val="clear" w:color="auto" w:fill="auto"/>
            <w:vAlign w:val="center"/>
          </w:tcPr>
          <w:p w:rsidR="00190884" w:rsidRPr="00E93158" w:rsidRDefault="00190884" w:rsidP="005578B6">
            <w:pPr>
              <w:rPr>
                <w:rFonts w:cs="Arial"/>
                <w:strike/>
                <w:szCs w:val="22"/>
                <w:highlight w:val="yellow"/>
              </w:rPr>
            </w:pPr>
          </w:p>
          <w:p w:rsidR="00190884" w:rsidRPr="00E93158" w:rsidRDefault="00190884" w:rsidP="005578B6">
            <w:pPr>
              <w:rPr>
                <w:rFonts w:eastAsia="Calibri"/>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190884" w:rsidRPr="00E93158" w:rsidRDefault="00190884" w:rsidP="005578B6">
            <w:pPr>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190884" w:rsidRPr="00E93158" w:rsidRDefault="00190884" w:rsidP="005578B6">
            <w:pPr>
              <w:rPr>
                <w:rFonts w:cs="Arial"/>
                <w:strike/>
                <w:szCs w:val="22"/>
                <w:highlight w:val="yellow"/>
              </w:rPr>
            </w:pPr>
            <w:r w:rsidRPr="00E93158">
              <w:rPr>
                <w:rFonts w:eastAsia="Calibri"/>
              </w:rPr>
              <w:t>- среднегодовой объем выполненных работ (ПИР) за последние 3 года (предшествующие году подачи оферты)</w:t>
            </w:r>
            <w:r w:rsidRPr="00E93158">
              <w:rPr>
                <w:rFonts w:ascii="Calibri" w:eastAsia="Calibri" w:hAnsi="Calibri"/>
                <w:sz w:val="20"/>
                <w:szCs w:val="20"/>
              </w:rPr>
              <w:t xml:space="preserve">  </w:t>
            </w:r>
          </w:p>
        </w:tc>
        <w:tc>
          <w:tcPr>
            <w:tcW w:w="1983" w:type="dxa"/>
            <w:shd w:val="clear" w:color="000000" w:fill="FFFFFF"/>
            <w:vAlign w:val="center"/>
          </w:tcPr>
          <w:p w:rsidR="00190884" w:rsidRPr="00E93158" w:rsidRDefault="00190884" w:rsidP="005578B6">
            <w:pPr>
              <w:rPr>
                <w:rFonts w:cs="Arial"/>
                <w:sz w:val="20"/>
                <w:szCs w:val="20"/>
                <w:highlight w:val="yellow"/>
              </w:rPr>
            </w:pPr>
            <w:r w:rsidRPr="00E93158">
              <w:rPr>
                <w:rFonts w:cs="Arial"/>
                <w:sz w:val="20"/>
                <w:szCs w:val="20"/>
              </w:rPr>
              <w:t>Соответствует/ Не соответствует</w:t>
            </w:r>
          </w:p>
          <w:p w:rsidR="00190884" w:rsidRPr="00E93158" w:rsidRDefault="00190884" w:rsidP="005578B6">
            <w:pPr>
              <w:rPr>
                <w:rFonts w:cs="Arial"/>
                <w:sz w:val="20"/>
                <w:szCs w:val="20"/>
                <w:highlight w:val="yellow"/>
              </w:rPr>
            </w:pPr>
          </w:p>
        </w:tc>
        <w:tc>
          <w:tcPr>
            <w:tcW w:w="2337" w:type="dxa"/>
            <w:shd w:val="clear" w:color="000000" w:fill="FFFFFF"/>
            <w:vAlign w:val="center"/>
          </w:tcPr>
          <w:p w:rsidR="00190884" w:rsidRPr="00E93158" w:rsidRDefault="00190884" w:rsidP="005578B6">
            <w:pPr>
              <w:jc w:val="center"/>
              <w:rPr>
                <w:rFonts w:eastAsia="Calibri"/>
              </w:rPr>
            </w:pPr>
            <w:r w:rsidRPr="00E93158">
              <w:rPr>
                <w:rFonts w:eastAsia="Calibri"/>
              </w:rPr>
              <w:t xml:space="preserve">*V1&lt; V2 - V3   </w:t>
            </w:r>
          </w:p>
          <w:p w:rsidR="00190884" w:rsidRPr="00E93158" w:rsidRDefault="00190884" w:rsidP="005578B6">
            <w:pPr>
              <w:jc w:val="center"/>
              <w:rPr>
                <w:rFonts w:eastAsia="Calibri"/>
              </w:rPr>
            </w:pPr>
          </w:p>
          <w:p w:rsidR="00190884" w:rsidRPr="00E93158" w:rsidRDefault="00190884" w:rsidP="005578B6">
            <w:pPr>
              <w:jc w:val="center"/>
              <w:rPr>
                <w:rFonts w:eastAsia="Calibri"/>
              </w:rPr>
            </w:pPr>
            <w:r w:rsidRPr="00E93158">
              <w:rPr>
                <w:rFonts w:eastAsia="Calibri"/>
              </w:rPr>
              <w:t>V1 -  объем действующих обязательств контрагента в пределах плановых сроков выполнения работ по предмету закупки;</w:t>
            </w:r>
          </w:p>
          <w:p w:rsidR="00190884" w:rsidRPr="00E93158" w:rsidRDefault="00190884" w:rsidP="005578B6">
            <w:pPr>
              <w:jc w:val="center"/>
              <w:rPr>
                <w:rFonts w:eastAsia="Calibri"/>
              </w:rPr>
            </w:pPr>
          </w:p>
          <w:p w:rsidR="00190884" w:rsidRPr="00E93158" w:rsidRDefault="00190884" w:rsidP="005578B6">
            <w:pPr>
              <w:jc w:val="center"/>
              <w:rPr>
                <w:rFonts w:eastAsia="Calibri"/>
              </w:rPr>
            </w:pPr>
            <w:r w:rsidRPr="00E93158">
              <w:rPr>
                <w:rFonts w:eastAsia="Calibri"/>
              </w:rPr>
              <w:t>V2 - 2х кратный среднегодовой объем работ выполненных за последние 3 года;</w:t>
            </w:r>
          </w:p>
          <w:p w:rsidR="00190884" w:rsidRPr="00E93158" w:rsidRDefault="00190884" w:rsidP="005578B6">
            <w:pPr>
              <w:jc w:val="center"/>
              <w:rPr>
                <w:rFonts w:eastAsia="Calibri"/>
              </w:rPr>
            </w:pPr>
          </w:p>
          <w:p w:rsidR="00190884" w:rsidRPr="00E93158" w:rsidRDefault="00190884" w:rsidP="005578B6">
            <w:pPr>
              <w:rPr>
                <w:rFonts w:cs="Arial"/>
                <w:sz w:val="20"/>
                <w:szCs w:val="20"/>
                <w:highlight w:val="yellow"/>
              </w:rPr>
            </w:pPr>
            <w:r w:rsidRPr="00E93158">
              <w:rPr>
                <w:rFonts w:eastAsia="Calibri"/>
              </w:rPr>
              <w:t>V3 – плановая стоимость закупки.</w:t>
            </w:r>
          </w:p>
        </w:tc>
      </w:tr>
      <w:tr w:rsidR="00190884" w:rsidRPr="002E571A" w:rsidTr="00F85421">
        <w:trPr>
          <w:trHeight w:val="196"/>
        </w:trPr>
        <w:tc>
          <w:tcPr>
            <w:tcW w:w="582" w:type="dxa"/>
            <w:shd w:val="clear" w:color="auto" w:fill="auto"/>
            <w:noWrap/>
            <w:vAlign w:val="center"/>
          </w:tcPr>
          <w:p w:rsidR="00190884" w:rsidRDefault="00190884" w:rsidP="003C7E5E">
            <w:pPr>
              <w:rPr>
                <w:rFonts w:cs="Arial"/>
                <w:sz w:val="20"/>
                <w:szCs w:val="20"/>
              </w:rPr>
            </w:pPr>
            <w:r>
              <w:rPr>
                <w:rFonts w:cs="Arial"/>
                <w:sz w:val="20"/>
                <w:szCs w:val="20"/>
              </w:rPr>
              <w:t>11</w:t>
            </w:r>
          </w:p>
        </w:tc>
        <w:tc>
          <w:tcPr>
            <w:tcW w:w="2730" w:type="dxa"/>
            <w:shd w:val="clear" w:color="auto" w:fill="auto"/>
            <w:vAlign w:val="center"/>
          </w:tcPr>
          <w:p w:rsidR="00190884" w:rsidRPr="00D6472E" w:rsidRDefault="00190884" w:rsidP="00672146">
            <w:pPr>
              <w:rPr>
                <w:rFonts w:cs="Arial"/>
                <w:szCs w:val="22"/>
              </w:rPr>
            </w:pPr>
            <w:r w:rsidRPr="00B8471C">
              <w:rPr>
                <w:rFonts w:cs="Arial"/>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2631" w:type="dxa"/>
            <w:shd w:val="clear" w:color="auto" w:fill="auto"/>
            <w:vAlign w:val="center"/>
          </w:tcPr>
          <w:p w:rsidR="00190884" w:rsidRPr="00EF1336" w:rsidRDefault="00190884" w:rsidP="00672146">
            <w:pPr>
              <w:rPr>
                <w:rFonts w:cs="Arial"/>
                <w:szCs w:val="22"/>
              </w:rPr>
            </w:pPr>
            <w:r w:rsidRPr="00B8471C">
              <w:rPr>
                <w:rFonts w:cs="Arial"/>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983" w:type="dxa"/>
            <w:shd w:val="clear" w:color="000000" w:fill="FFFFFF"/>
            <w:vAlign w:val="center"/>
          </w:tcPr>
          <w:p w:rsidR="00190884" w:rsidRPr="002E571A" w:rsidRDefault="00190884" w:rsidP="00672146">
            <w:pPr>
              <w:rPr>
                <w:rFonts w:cs="Arial"/>
                <w:sz w:val="20"/>
                <w:szCs w:val="20"/>
              </w:rPr>
            </w:pPr>
            <w:r>
              <w:rPr>
                <w:rFonts w:cs="Arial"/>
                <w:sz w:val="20"/>
                <w:szCs w:val="20"/>
              </w:rPr>
              <w:t>Да/нет</w:t>
            </w:r>
          </w:p>
        </w:tc>
        <w:tc>
          <w:tcPr>
            <w:tcW w:w="2337" w:type="dxa"/>
            <w:shd w:val="clear" w:color="000000" w:fill="FFFFFF"/>
            <w:vAlign w:val="center"/>
          </w:tcPr>
          <w:p w:rsidR="00190884" w:rsidRPr="002E571A" w:rsidRDefault="00190884" w:rsidP="00672146">
            <w:pPr>
              <w:rPr>
                <w:rFonts w:cs="Arial"/>
                <w:sz w:val="20"/>
                <w:szCs w:val="20"/>
              </w:rPr>
            </w:pPr>
            <w:r>
              <w:rPr>
                <w:rFonts w:cs="Arial"/>
                <w:sz w:val="20"/>
                <w:szCs w:val="20"/>
              </w:rPr>
              <w:t>Да</w:t>
            </w:r>
          </w:p>
        </w:tc>
      </w:tr>
      <w:tr w:rsidR="00190884" w:rsidRPr="002E571A" w:rsidTr="00F85421">
        <w:trPr>
          <w:trHeight w:val="196"/>
        </w:trPr>
        <w:tc>
          <w:tcPr>
            <w:tcW w:w="582" w:type="dxa"/>
            <w:shd w:val="clear" w:color="auto" w:fill="auto"/>
            <w:noWrap/>
            <w:vAlign w:val="center"/>
          </w:tcPr>
          <w:p w:rsidR="00190884" w:rsidRDefault="00190884" w:rsidP="003C7E5E">
            <w:pPr>
              <w:rPr>
                <w:rFonts w:cs="Arial"/>
                <w:sz w:val="20"/>
                <w:szCs w:val="20"/>
              </w:rPr>
            </w:pPr>
            <w:r>
              <w:rPr>
                <w:rFonts w:cs="Arial"/>
                <w:sz w:val="20"/>
                <w:szCs w:val="20"/>
              </w:rPr>
              <w:t>12</w:t>
            </w:r>
          </w:p>
        </w:tc>
        <w:tc>
          <w:tcPr>
            <w:tcW w:w="2730" w:type="dxa"/>
            <w:shd w:val="clear" w:color="auto" w:fill="auto"/>
            <w:vAlign w:val="center"/>
          </w:tcPr>
          <w:p w:rsidR="00190884" w:rsidRPr="00D6472E" w:rsidRDefault="00190884" w:rsidP="0005196B">
            <w:pPr>
              <w:rPr>
                <w:rFonts w:cs="Arial"/>
                <w:szCs w:val="22"/>
              </w:rPr>
            </w:pPr>
            <w:r w:rsidRPr="00B8471C">
              <w:rPr>
                <w:rFonts w:cs="Arial"/>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2631" w:type="dxa"/>
            <w:shd w:val="clear" w:color="auto" w:fill="auto"/>
            <w:vAlign w:val="center"/>
          </w:tcPr>
          <w:p w:rsidR="00190884" w:rsidRPr="00EF1336" w:rsidRDefault="00190884" w:rsidP="0005196B">
            <w:pPr>
              <w:rPr>
                <w:rFonts w:cs="Arial"/>
                <w:szCs w:val="22"/>
              </w:rPr>
            </w:pPr>
            <w:r w:rsidRPr="00B8471C">
              <w:rPr>
                <w:rFonts w:cs="Arial"/>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983" w:type="dxa"/>
            <w:shd w:val="clear" w:color="000000" w:fill="FFFFFF"/>
            <w:vAlign w:val="center"/>
          </w:tcPr>
          <w:p w:rsidR="00190884" w:rsidRPr="002E571A" w:rsidRDefault="00190884" w:rsidP="0005196B">
            <w:pPr>
              <w:rPr>
                <w:rFonts w:cs="Arial"/>
                <w:sz w:val="20"/>
                <w:szCs w:val="20"/>
              </w:rPr>
            </w:pPr>
            <w:r>
              <w:rPr>
                <w:rFonts w:cs="Arial"/>
                <w:sz w:val="20"/>
                <w:szCs w:val="20"/>
              </w:rPr>
              <w:t>Наличие/отсутствие</w:t>
            </w:r>
          </w:p>
        </w:tc>
        <w:tc>
          <w:tcPr>
            <w:tcW w:w="2337" w:type="dxa"/>
            <w:shd w:val="clear" w:color="000000" w:fill="FFFFFF"/>
            <w:vAlign w:val="center"/>
          </w:tcPr>
          <w:p w:rsidR="00190884" w:rsidRPr="002E571A" w:rsidRDefault="00190884" w:rsidP="0005196B">
            <w:pPr>
              <w:rPr>
                <w:rFonts w:cs="Arial"/>
                <w:sz w:val="20"/>
                <w:szCs w:val="20"/>
              </w:rPr>
            </w:pPr>
            <w:r>
              <w:rPr>
                <w:rFonts w:cs="Arial"/>
                <w:sz w:val="20"/>
                <w:szCs w:val="20"/>
              </w:rPr>
              <w:t>Отсутствие</w:t>
            </w:r>
          </w:p>
        </w:tc>
      </w:tr>
    </w:tbl>
    <w:p w:rsidR="00866758" w:rsidRDefault="00866758" w:rsidP="00E526D7">
      <w:pPr>
        <w:autoSpaceDE w:val="0"/>
        <w:autoSpaceDN w:val="0"/>
        <w:adjustRightInd w:val="0"/>
        <w:spacing w:before="180"/>
        <w:jc w:val="both"/>
        <w:rPr>
          <w:b/>
          <w:iCs/>
        </w:rPr>
      </w:pPr>
      <w:r>
        <w:rPr>
          <w:szCs w:val="22"/>
        </w:rPr>
        <w:t xml:space="preserve">* </w:t>
      </w:r>
      <w:r w:rsidRPr="00866758">
        <w:rPr>
          <w:szCs w:val="22"/>
        </w:rPr>
        <w:t>- допускается отклонение от установленного уровня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5F58AE" w:rsidRPr="00686EF3" w:rsidRDefault="005F58AE" w:rsidP="005F58AE">
      <w:pPr>
        <w:pStyle w:val="af3"/>
        <w:suppressAutoHyphens/>
        <w:ind w:firstLine="709"/>
      </w:pPr>
      <w:r w:rsidRPr="00686EF3">
        <w:t xml:space="preserve">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5F58AE" w:rsidP="005F58AE">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4E58E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E5E" w:rsidRDefault="003C7E5E">
      <w:r>
        <w:separator/>
      </w:r>
    </w:p>
  </w:endnote>
  <w:endnote w:type="continuationSeparator" w:id="0">
    <w:p w:rsidR="003C7E5E" w:rsidRDefault="003C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5E" w:rsidRDefault="003C7E5E">
    <w:pPr>
      <w:pStyle w:val="aa"/>
      <w:jc w:val="right"/>
    </w:pPr>
    <w:r>
      <w:fldChar w:fldCharType="begin"/>
    </w:r>
    <w:r>
      <w:instrText xml:space="preserve"> PAGE   \* MERGEFORMAT </w:instrText>
    </w:r>
    <w:r>
      <w:fldChar w:fldCharType="separate"/>
    </w:r>
    <w:r w:rsidR="00D44F82">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E5E" w:rsidRDefault="003C7E5E">
      <w:r>
        <w:separator/>
      </w:r>
    </w:p>
  </w:footnote>
  <w:footnote w:type="continuationSeparator" w:id="0">
    <w:p w:rsidR="003C7E5E" w:rsidRDefault="003C7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579A3"/>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68C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884"/>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C7E5E"/>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114"/>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3772"/>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5E95"/>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7D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35B"/>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093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5268"/>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7F1"/>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1D1"/>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4F82"/>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1D7885A7-A087-4EA2-B10B-BB2A4C2E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70938653">
      <w:bodyDiv w:val="1"/>
      <w:marLeft w:val="60"/>
      <w:marRight w:val="60"/>
      <w:marTop w:val="60"/>
      <w:marBottom w:val="15"/>
      <w:divBdr>
        <w:top w:val="none" w:sz="0" w:space="0" w:color="auto"/>
        <w:left w:val="none" w:sz="0" w:space="0" w:color="auto"/>
        <w:bottom w:val="none" w:sz="0" w:space="0" w:color="auto"/>
        <w:right w:val="none" w:sz="0" w:space="0" w:color="auto"/>
      </w:divBdr>
      <w:divsChild>
        <w:div w:id="1706363899">
          <w:marLeft w:val="0"/>
          <w:marRight w:val="0"/>
          <w:marTop w:val="0"/>
          <w:marBottom w:val="0"/>
          <w:divBdr>
            <w:top w:val="none" w:sz="0" w:space="0" w:color="auto"/>
            <w:left w:val="none" w:sz="0" w:space="0" w:color="auto"/>
            <w:bottom w:val="none" w:sz="0" w:space="0" w:color="auto"/>
            <w:right w:val="none" w:sz="0" w:space="0" w:color="auto"/>
          </w:divBdr>
        </w:div>
      </w:divsChild>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anos.slavneft.ru/files/doc_pdo_416-ks-2016_636136802447639190.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5FD82-2221-4D89-B385-B989D032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3815</Words>
  <Characters>21751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25515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2016-11-02T07:38:00Z</cp:lastPrinted>
  <dcterms:created xsi:type="dcterms:W3CDTF">2016-11-02T07:44:00Z</dcterms:created>
  <dcterms:modified xsi:type="dcterms:W3CDTF">2016-11-02T07:44:00Z</dcterms:modified>
</cp:coreProperties>
</file>