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DE19C0">
            <w:r>
              <w:t xml:space="preserve">Протокол № </w:t>
            </w:r>
            <w:r w:rsidR="00DE19C0">
              <w:t>62</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DE19C0">
            <w:r w:rsidRPr="00E41367">
              <w:t>«</w:t>
            </w:r>
            <w:r w:rsidR="00DE19C0">
              <w:t>19</w:t>
            </w:r>
            <w:r w:rsidRPr="00E41367">
              <w:t xml:space="preserve">» </w:t>
            </w:r>
            <w:r w:rsidR="00DE19C0">
              <w:t>апреля</w:t>
            </w:r>
            <w:r w:rsidRPr="00E41367">
              <w:t xml:space="preserve"> 201</w:t>
            </w:r>
            <w:r w:rsidR="00694F1E">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694F1E">
        <w:t>0</w:t>
      </w:r>
      <w:r w:rsidR="002C1BC6">
        <w:t>98</w:t>
      </w:r>
      <w:r w:rsidRPr="004B37EE">
        <w:t>-К</w:t>
      </w:r>
      <w:r w:rsidR="001A3479">
        <w:t>Р</w:t>
      </w:r>
      <w:r w:rsidR="00D32451">
        <w:t>-</w:t>
      </w:r>
      <w:r w:rsidRPr="004B37EE">
        <w:t>201</w:t>
      </w:r>
      <w:r w:rsidR="00C823D8">
        <w:t>6</w:t>
      </w:r>
    </w:p>
    <w:p w:rsidR="006E2F20" w:rsidRPr="003F09CB" w:rsidRDefault="006E2F20" w:rsidP="006E2F20">
      <w:r w:rsidRPr="003F09CB">
        <w:t>«</w:t>
      </w:r>
      <w:r w:rsidR="00DE19C0">
        <w:t>20</w:t>
      </w:r>
      <w:r w:rsidRPr="003F09CB">
        <w:t xml:space="preserve">» </w:t>
      </w:r>
      <w:r w:rsidR="00DE19C0">
        <w:t>апреля</w:t>
      </w:r>
      <w:r w:rsidRPr="003F09CB">
        <w:t xml:space="preserve"> 201</w:t>
      </w:r>
      <w:r w:rsidR="00694F1E">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C1AD8" w:rsidRPr="00262758">
        <w:rPr>
          <w:b/>
        </w:rPr>
        <w:t xml:space="preserve">заключение договора на </w:t>
      </w:r>
      <w:r w:rsidR="007C1AD8">
        <w:rPr>
          <w:b/>
        </w:rPr>
        <w:t xml:space="preserve">продление технической поддержки </w:t>
      </w:r>
      <w:r w:rsidR="002C1BC6" w:rsidRPr="002C1BC6">
        <w:rPr>
          <w:b/>
        </w:rPr>
        <w:t xml:space="preserve">лицензионного программного обеспечения </w:t>
      </w:r>
      <w:r w:rsidR="002C1BC6" w:rsidRPr="002C1BC6">
        <w:rPr>
          <w:b/>
          <w:lang w:val="en-US"/>
        </w:rPr>
        <w:t>Novell</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AF3240">
        <w:t>поданных</w:t>
      </w:r>
      <w:proofErr w:type="gramEnd"/>
      <w:r w:rsidRPr="00AF3240">
        <w:t xml:space="preserve"> участником закупки оферт</w:t>
      </w:r>
      <w:r w:rsidR="00AE4C90">
        <w:t>а</w:t>
      </w:r>
      <w:r>
        <w:t>.</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2C1BC6">
        <w:rPr>
          <w:b/>
        </w:rPr>
        <w:t>15</w:t>
      </w:r>
      <w:r>
        <w:rPr>
          <w:b/>
        </w:rPr>
        <w:t xml:space="preserve"> </w:t>
      </w:r>
      <w:r w:rsidR="002C1BC6">
        <w:rPr>
          <w:b/>
        </w:rPr>
        <w:t>июн</w:t>
      </w:r>
      <w:r w:rsidR="00E82055">
        <w:rPr>
          <w:b/>
        </w:rPr>
        <w:t>я</w:t>
      </w:r>
      <w:r w:rsidRPr="008234DD">
        <w:rPr>
          <w:b/>
        </w:rPr>
        <w:t xml:space="preserve"> 201</w:t>
      </w:r>
      <w:r>
        <w:rPr>
          <w:b/>
        </w:rPr>
        <w:t>6</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236DB0">
      <w:pPr>
        <w:numPr>
          <w:ilvl w:val="0"/>
          <w:numId w:val="8"/>
        </w:numPr>
        <w:tabs>
          <w:tab w:val="clear" w:pos="720"/>
          <w:tab w:val="num" w:pos="644"/>
          <w:tab w:val="num" w:pos="993"/>
        </w:tabs>
        <w:autoSpaceDE w:val="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7C1AD8" w:rsidRDefault="007C1AD8" w:rsidP="00236DB0">
      <w:pPr>
        <w:numPr>
          <w:ilvl w:val="0"/>
          <w:numId w:val="8"/>
        </w:numPr>
        <w:tabs>
          <w:tab w:val="clear" w:pos="720"/>
          <w:tab w:val="num" w:pos="644"/>
          <w:tab w:val="num" w:pos="993"/>
        </w:tabs>
        <w:autoSpaceDE w:val="0"/>
        <w:ind w:left="993" w:hanging="426"/>
        <w:jc w:val="both"/>
      </w:pPr>
      <w:r w:rsidRPr="00430192">
        <w:t xml:space="preserve">Документы, подтверждающие статус партнёра </w:t>
      </w:r>
      <w:r w:rsidR="002C1BC6">
        <w:rPr>
          <w:lang w:val="en-US"/>
        </w:rPr>
        <w:t>Novell</w:t>
      </w:r>
      <w:r w:rsidR="002C1BC6" w:rsidRPr="00CB4C5E">
        <w:t>-</w:t>
      </w:r>
      <w:r w:rsidR="002C1BC6">
        <w:rPr>
          <w:lang w:val="en-US"/>
        </w:rPr>
        <w:t>SUSE</w:t>
      </w:r>
      <w:r w:rsidR="002C1BC6" w:rsidRPr="00CB4C5E">
        <w:t>-</w:t>
      </w:r>
      <w:proofErr w:type="spellStart"/>
      <w:r w:rsidR="002C1BC6">
        <w:rPr>
          <w:lang w:val="en-US"/>
        </w:rPr>
        <w:t>NetlQ</w:t>
      </w:r>
      <w:proofErr w:type="spellEnd"/>
      <w:r w:rsidR="002C1BC6">
        <w:t xml:space="preserve"> (со статусом партнера по решениям – «Серебряный» уровень или выше)</w:t>
      </w:r>
      <w:r>
        <w:t>;</w:t>
      </w:r>
    </w:p>
    <w:p w:rsidR="007C72D8" w:rsidRDefault="007C72D8" w:rsidP="00236DB0">
      <w:pPr>
        <w:numPr>
          <w:ilvl w:val="0"/>
          <w:numId w:val="8"/>
        </w:numPr>
        <w:tabs>
          <w:tab w:val="clear" w:pos="720"/>
          <w:tab w:val="num" w:pos="993"/>
        </w:tabs>
        <w:autoSpaceDE w:val="0"/>
        <w:ind w:left="993" w:hanging="426"/>
        <w:jc w:val="both"/>
      </w:pPr>
      <w:r w:rsidRPr="007C72D8">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7C1AD8">
        <w:t>.</w:t>
      </w:r>
    </w:p>
    <w:p w:rsidR="007C72D8" w:rsidRPr="007C72D8" w:rsidRDefault="007C72D8" w:rsidP="007C1AD8">
      <w:pPr>
        <w:autoSpaceDE w:val="0"/>
        <w:ind w:left="993"/>
        <w:jc w:val="both"/>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lastRenderedPageBreak/>
        <w:t xml:space="preserve">Начало </w:t>
      </w:r>
      <w:r w:rsidR="000E3711">
        <w:rPr>
          <w:b/>
          <w:bCs/>
        </w:rPr>
        <w:t>приема</w:t>
      </w:r>
      <w:r w:rsidRPr="000156BF">
        <w:rPr>
          <w:b/>
          <w:bCs/>
        </w:rPr>
        <w:t xml:space="preserve"> оферт – «</w:t>
      </w:r>
      <w:r w:rsidR="00DE19C0">
        <w:rPr>
          <w:b/>
          <w:bCs/>
        </w:rPr>
        <w:t>20</w:t>
      </w:r>
      <w:r w:rsidRPr="000156BF">
        <w:rPr>
          <w:b/>
          <w:bCs/>
        </w:rPr>
        <w:t xml:space="preserve">» </w:t>
      </w:r>
      <w:r w:rsidR="00DE19C0">
        <w:rPr>
          <w:b/>
          <w:bCs/>
        </w:rPr>
        <w:t>апреля</w:t>
      </w:r>
      <w:r w:rsidRPr="000156BF">
        <w:rPr>
          <w:b/>
          <w:bCs/>
        </w:rPr>
        <w:t xml:space="preserve"> 201</w:t>
      </w:r>
      <w:r w:rsidR="00694F1E">
        <w:rPr>
          <w:b/>
          <w:bCs/>
        </w:rPr>
        <w:t>6</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DE19C0">
        <w:rPr>
          <w:b/>
          <w:bCs/>
        </w:rPr>
        <w:t>16:00</w:t>
      </w:r>
      <w:r w:rsidRPr="000156BF">
        <w:rPr>
          <w:b/>
        </w:rPr>
        <w:t xml:space="preserve"> (время </w:t>
      </w:r>
      <w:r w:rsidRPr="00330AE7">
        <w:rPr>
          <w:b/>
        </w:rPr>
        <w:t>московское)</w:t>
      </w:r>
      <w:r w:rsidR="004C0570">
        <w:rPr>
          <w:b/>
        </w:rPr>
        <w:t xml:space="preserve"> </w:t>
      </w:r>
      <w:r w:rsidRPr="00330AE7">
        <w:rPr>
          <w:b/>
          <w:bCs/>
        </w:rPr>
        <w:t>«</w:t>
      </w:r>
      <w:r w:rsidR="00DE19C0">
        <w:rPr>
          <w:b/>
          <w:bCs/>
        </w:rPr>
        <w:t>28</w:t>
      </w:r>
      <w:r w:rsidR="00DE5CC2" w:rsidRPr="00330AE7">
        <w:rPr>
          <w:b/>
          <w:bCs/>
        </w:rPr>
        <w:t xml:space="preserve">» </w:t>
      </w:r>
      <w:r w:rsidR="00DE19C0">
        <w:rPr>
          <w:b/>
          <w:bCs/>
        </w:rPr>
        <w:t xml:space="preserve">апреля </w:t>
      </w:r>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2C1BC6">
        <w:rPr>
          <w:b/>
          <w:bCs/>
        </w:rPr>
        <w:t>15</w:t>
      </w:r>
      <w:r w:rsidRPr="00330AE7">
        <w:rPr>
          <w:b/>
          <w:bCs/>
        </w:rPr>
        <w:t xml:space="preserve">» </w:t>
      </w:r>
      <w:r w:rsidR="002C1BC6">
        <w:rPr>
          <w:b/>
          <w:bCs/>
        </w:rPr>
        <w:t>июн</w:t>
      </w:r>
      <w:r w:rsidR="00E82055">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Документы должны быть доставлены к назначенному сроку окончания сбора офе</w:t>
      </w:r>
      <w:proofErr w:type="gramStart"/>
      <w:r>
        <w:t xml:space="preserve">рт в </w:t>
      </w:r>
      <w:r w:rsidR="006B29C2" w:rsidRPr="006B29C2">
        <w:rPr>
          <w:b/>
          <w:u w:val="single"/>
        </w:rPr>
        <w:t>дв</w:t>
      </w:r>
      <w:proofErr w:type="gramEnd"/>
      <w:r w:rsidR="006B29C2" w:rsidRPr="006B29C2">
        <w:rPr>
          <w:b/>
          <w:u w:val="single"/>
        </w:rPr>
        <w:t>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694F1E">
        <w:rPr>
          <w:b/>
          <w:u w:val="single"/>
        </w:rPr>
        <w:t>0</w:t>
      </w:r>
      <w:r w:rsidR="002C1BC6">
        <w:rPr>
          <w:b/>
          <w:u w:val="single"/>
        </w:rPr>
        <w:t>98</w:t>
      </w:r>
      <w:r>
        <w:rPr>
          <w:b/>
          <w:u w:val="single"/>
        </w:rPr>
        <w:t>-К</w:t>
      </w:r>
      <w:r w:rsidR="006953C7">
        <w:rPr>
          <w:b/>
          <w:u w:val="single"/>
        </w:rPr>
        <w:t>Р</w:t>
      </w:r>
      <w:r>
        <w:rPr>
          <w:b/>
          <w:u w:val="single"/>
        </w:rPr>
        <w:t>-201</w:t>
      </w:r>
      <w:r w:rsidR="00694F1E">
        <w:rPr>
          <w:b/>
          <w:u w:val="single"/>
        </w:rPr>
        <w:t>6</w:t>
      </w:r>
      <w:r>
        <w:rPr>
          <w:b/>
          <w:u w:val="single"/>
        </w:rPr>
        <w:t>».</w:t>
      </w:r>
    </w:p>
    <w:p w:rsidR="00C37311" w:rsidRDefault="00C37311" w:rsidP="000E3711">
      <w:pPr>
        <w:ind w:firstLine="681"/>
        <w:jc w:val="both"/>
      </w:pPr>
    </w:p>
    <w:p w:rsidR="004D53AA" w:rsidRDefault="004D53AA" w:rsidP="004D53AA">
      <w:pPr>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A91FFB" w:rsidRPr="007F27EE" w:rsidRDefault="00A91FFB" w:rsidP="00537FBF">
      <w:pPr>
        <w:ind w:left="851"/>
        <w:jc w:val="both"/>
        <w:rPr>
          <w:sz w:val="20"/>
          <w:szCs w:val="20"/>
        </w:rPr>
      </w:pP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proofErr w:type="gramStart"/>
      <w:r w:rsidR="004D53AA" w:rsidRPr="000C2E80">
        <w:rPr>
          <w:rStyle w:val="affb"/>
          <w:i w:val="0"/>
        </w:rPr>
        <w:t>ч</w:t>
      </w:r>
      <w:proofErr w:type="gramEnd"/>
      <w:r w:rsidR="004D53AA" w:rsidRPr="000C2E80">
        <w:rPr>
          <w:rStyle w:val="affb"/>
          <w:i w:val="0"/>
        </w:rPr>
        <w:t xml:space="preserve">/б,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4D53AA" w:rsidRDefault="004D53AA" w:rsidP="004D53AA">
      <w:pPr>
        <w:ind w:left="709"/>
        <w:jc w:val="both"/>
      </w:pPr>
    </w:p>
    <w:p w:rsidR="00537FBF" w:rsidRDefault="004D53AA" w:rsidP="004D53AA">
      <w:pPr>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4D53AA" w:rsidRPr="00293FD1" w:rsidRDefault="004D53AA" w:rsidP="004D53AA">
      <w:pPr>
        <w:ind w:left="709"/>
        <w:jc w:val="both"/>
        <w:rPr>
          <w:color w:val="FF0000"/>
          <w:sz w:val="20"/>
          <w:szCs w:val="2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028C2" w:rsidRDefault="007028C2" w:rsidP="00F044F7">
      <w:pPr>
        <w:ind w:firstLine="708"/>
        <w:jc w:val="both"/>
        <w:rPr>
          <w:rFonts w:cs="Arial"/>
          <w:b/>
          <w:szCs w:val="22"/>
        </w:rPr>
      </w:pP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 xml:space="preserve">Конверты доставляются представителем Претендента, </w:t>
      </w:r>
      <w:proofErr w:type="gramStart"/>
      <w:r>
        <w:rPr>
          <w:color w:val="000000"/>
        </w:rPr>
        <w:t>экспресс-почтой</w:t>
      </w:r>
      <w:proofErr w:type="gramEnd"/>
      <w:r>
        <w:rPr>
          <w:color w:val="000000"/>
        </w:rPr>
        <w:t xml:space="preserve">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proofErr w:type="gramStart"/>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roofErr w:type="gramEnd"/>
      <w:r w:rsidR="004D3F19" w:rsidRPr="00B603C2">
        <w:rPr>
          <w:rFonts w:ascii="Times New Roman" w:hAnsi="Times New Roman" w:cs="Times New Roman"/>
          <w:sz w:val="24"/>
          <w:szCs w:val="24"/>
        </w:rPr>
        <w:t>!</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DE19C0">
        <w:rPr>
          <w:rStyle w:val="afd"/>
          <w:rFonts w:ascii="Times New Roman" w:hAnsi="Times New Roman"/>
          <w:color w:val="auto"/>
          <w:u w:val="none"/>
        </w:rPr>
        <w:t>26</w:t>
      </w:r>
      <w:r>
        <w:rPr>
          <w:rStyle w:val="afd"/>
          <w:rFonts w:ascii="Times New Roman" w:hAnsi="Times New Roman"/>
          <w:color w:val="auto"/>
          <w:u w:val="none"/>
        </w:rPr>
        <w:t xml:space="preserve">» </w:t>
      </w:r>
      <w:r w:rsidR="00DE19C0">
        <w:rPr>
          <w:rStyle w:val="afd"/>
          <w:rFonts w:ascii="Times New Roman" w:hAnsi="Times New Roman"/>
          <w:color w:val="auto"/>
          <w:u w:val="none"/>
        </w:rPr>
        <w:t>апреля</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proofErr w:type="gramStart"/>
      <w:r>
        <w:rPr>
          <w:b/>
        </w:rPr>
        <w:t>к</w:t>
      </w:r>
      <w:proofErr w:type="gramEnd"/>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9"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proofErr w:type="spellStart"/>
        <w:r w:rsidR="00E67C07" w:rsidRPr="00C94D3C">
          <w:rPr>
            <w:rStyle w:val="afd"/>
            <w:lang w:val="en-US"/>
          </w:rPr>
          <w:t>ru</w:t>
        </w:r>
        <w:proofErr w:type="spellEnd"/>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proofErr w:type="gramStart"/>
      <w:r>
        <w:rPr>
          <w:b/>
        </w:rPr>
        <w:t>к</w:t>
      </w:r>
      <w:proofErr w:type="gramEnd"/>
    </w:p>
    <w:p w:rsidR="00D748C0" w:rsidRPr="006F0158" w:rsidRDefault="00DE19C0" w:rsidP="00D748C0">
      <w:pPr>
        <w:spacing w:before="120"/>
        <w:rPr>
          <w:bCs/>
          <w:szCs w:val="16"/>
        </w:rPr>
      </w:pPr>
      <w:r>
        <w:rPr>
          <w:bCs/>
          <w:szCs w:val="16"/>
        </w:rPr>
        <w:lastRenderedPageBreak/>
        <w:t>Ведущему специалисту тендерного комитета</w:t>
      </w:r>
    </w:p>
    <w:p w:rsidR="00D748C0" w:rsidRPr="00403947" w:rsidRDefault="00DE19C0" w:rsidP="00D748C0">
      <w:r>
        <w:t>Кирилловой Надежде Владимировне</w:t>
      </w:r>
    </w:p>
    <w:p w:rsidR="00D748C0" w:rsidRPr="00403947" w:rsidRDefault="00D748C0" w:rsidP="00D748C0">
      <w:r w:rsidRPr="00403947">
        <w:t xml:space="preserve">Контактные данные: (4852) </w:t>
      </w:r>
      <w:r w:rsidR="00DE19C0">
        <w:t>49-82-64,</w:t>
      </w:r>
      <w:r w:rsidRPr="00403947">
        <w:t xml:space="preserve"> </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00DE19C0" w:rsidRPr="00A57EDF">
          <w:rPr>
            <w:rStyle w:val="afd"/>
            <w:rFonts w:ascii="Times New Roman" w:hAnsi="Times New Roman"/>
            <w:lang w:val="en-US"/>
          </w:rPr>
          <w:t>KirillovaNV</w:t>
        </w:r>
        <w:r w:rsidR="00DE19C0" w:rsidRPr="00A57EDF">
          <w:rPr>
            <w:rStyle w:val="afd"/>
            <w:rFonts w:ascii="Times New Roman" w:hAnsi="Times New Roman"/>
          </w:rPr>
          <w:t>@</w:t>
        </w:r>
        <w:r w:rsidR="00DE19C0" w:rsidRPr="00A57EDF">
          <w:rPr>
            <w:rStyle w:val="afd"/>
            <w:rFonts w:ascii="Times New Roman" w:hAnsi="Times New Roman"/>
            <w:lang w:val="en-US"/>
          </w:rPr>
          <w:t>yanos</w:t>
        </w:r>
        <w:r w:rsidR="00DE19C0" w:rsidRPr="00A57EDF">
          <w:rPr>
            <w:rStyle w:val="afd"/>
            <w:rFonts w:ascii="Times New Roman" w:hAnsi="Times New Roman"/>
          </w:rPr>
          <w:t>.</w:t>
        </w:r>
        <w:r w:rsidR="00DE19C0" w:rsidRPr="00A57EDF">
          <w:rPr>
            <w:rStyle w:val="afd"/>
            <w:rFonts w:ascii="Times New Roman" w:hAnsi="Times New Roman"/>
            <w:lang w:val="en-US"/>
          </w:rPr>
          <w:t>slavneft</w:t>
        </w:r>
        <w:r w:rsidR="00DE19C0" w:rsidRPr="00A57EDF">
          <w:rPr>
            <w:rStyle w:val="afd"/>
            <w:rFonts w:ascii="Times New Roman" w:hAnsi="Times New Roman"/>
          </w:rPr>
          <w:t>.</w:t>
        </w:r>
        <w:proofErr w:type="spellStart"/>
        <w:r w:rsidR="00DE19C0" w:rsidRPr="00A57EDF">
          <w:rPr>
            <w:rStyle w:val="afd"/>
            <w:rFonts w:ascii="Times New Roman" w:hAnsi="Times New Roman"/>
            <w:lang w:val="en-US"/>
          </w:rPr>
          <w:t>ru</w:t>
        </w:r>
        <w:proofErr w:type="spellEnd"/>
      </w:hyperlink>
    </w:p>
    <w:p w:rsidR="00D748C0" w:rsidRPr="00BE67B4" w:rsidRDefault="00DE19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00D748C0" w:rsidRPr="00CF3EDF">
          <w:rPr>
            <w:rStyle w:val="afd"/>
            <w:rFonts w:ascii="Times New Roman" w:hAnsi="Times New Roman"/>
            <w:lang w:val="en-US"/>
          </w:rPr>
          <w:t>tender</w:t>
        </w:r>
        <w:r w:rsidR="00D748C0" w:rsidRPr="00776E88">
          <w:rPr>
            <w:rStyle w:val="afd"/>
            <w:rFonts w:ascii="Times New Roman" w:hAnsi="Times New Roman"/>
          </w:rPr>
          <w:t>@</w:t>
        </w:r>
        <w:proofErr w:type="spellStart"/>
        <w:r w:rsidR="00D748C0" w:rsidRPr="00CF3EDF">
          <w:rPr>
            <w:rStyle w:val="afd"/>
            <w:rFonts w:ascii="Times New Roman" w:hAnsi="Times New Roman"/>
            <w:lang w:val="en-US"/>
          </w:rPr>
          <w:t>yanos</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slavneft</w:t>
        </w:r>
        <w:proofErr w:type="spellEnd"/>
        <w:r w:rsidR="00D748C0" w:rsidRPr="00776E88">
          <w:rPr>
            <w:rStyle w:val="afd"/>
            <w:rFonts w:ascii="Times New Roman" w:hAnsi="Times New Roman"/>
          </w:rPr>
          <w:t>.</w:t>
        </w:r>
        <w:proofErr w:type="spellStart"/>
        <w:r w:rsidR="00D748C0" w:rsidRPr="00CF3EDF">
          <w:rPr>
            <w:rStyle w:val="afd"/>
            <w:rFonts w:ascii="Times New Roman" w:hAnsi="Times New Roman"/>
            <w:lang w:val="en-US"/>
          </w:rPr>
          <w:t>ru</w:t>
        </w:r>
        <w:proofErr w:type="spellEnd"/>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w:t>
      </w:r>
      <w:proofErr w:type="gramStart"/>
      <w:r>
        <w:rPr>
          <w:b/>
          <w:bCs/>
        </w:rPr>
        <w:t>несет какой бы то ни было</w:t>
      </w:r>
      <w:proofErr w:type="gramEnd"/>
      <w:r>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proofErr w:type="gramStart"/>
      <w:r w:rsidRPr="00AF3240">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AF3240">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1BD0">
        <w:rPr>
          <w:rFonts w:cs="Arial"/>
          <w:b/>
          <w:szCs w:val="22"/>
        </w:rPr>
        <w:t>с даты получения</w:t>
      </w:r>
      <w:proofErr w:type="gramEnd"/>
      <w:r w:rsidRPr="002B1BD0">
        <w:rPr>
          <w:rFonts w:cs="Arial"/>
          <w:b/>
          <w:szCs w:val="22"/>
        </w:rPr>
        <w:t xml:space="preserve">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proofErr w:type="gramStart"/>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AF3240">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DE19C0" w:rsidRDefault="00F044F7" w:rsidP="00F044F7">
      <w:pPr>
        <w:ind w:firstLine="708"/>
        <w:jc w:val="both"/>
        <w:rPr>
          <w:rFonts w:cs="Arial"/>
          <w:szCs w:val="22"/>
          <w:lang w:val="en-US"/>
        </w:rPr>
      </w:pPr>
      <w:proofErr w:type="gramStart"/>
      <w:r w:rsidRPr="00AF3240">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proofErr w:type="gramEnd"/>
    </w:p>
    <w:p w:rsidR="00DE19C0" w:rsidRDefault="00DE19C0" w:rsidP="00F044F7">
      <w:pPr>
        <w:ind w:firstLine="708"/>
        <w:jc w:val="both"/>
        <w:rPr>
          <w:rFonts w:cs="Arial"/>
          <w:szCs w:val="22"/>
          <w:lang w:val="en-US"/>
        </w:rPr>
      </w:pPr>
    </w:p>
    <w:p w:rsidR="00DE19C0" w:rsidRDefault="00DE19C0" w:rsidP="00F044F7">
      <w:pPr>
        <w:ind w:firstLine="708"/>
        <w:jc w:val="both"/>
        <w:rPr>
          <w:rFonts w:cs="Arial"/>
          <w:szCs w:val="22"/>
          <w:lang w:val="en-US"/>
        </w:rPr>
      </w:pPr>
    </w:p>
    <w:p w:rsidR="00F044F7" w:rsidRDefault="00F044F7" w:rsidP="00DE19C0">
      <w:pPr>
        <w:jc w:val="both"/>
        <w:rPr>
          <w:rFonts w:cs="Arial"/>
          <w:szCs w:val="22"/>
        </w:rPr>
      </w:pPr>
      <w:r w:rsidRPr="00AF3240">
        <w:rPr>
          <w:rFonts w:cs="Arial"/>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w:t>
      </w:r>
      <w:proofErr w:type="gramStart"/>
      <w:r w:rsidRPr="00347045">
        <w:rPr>
          <w:rFonts w:cs="Arial"/>
          <w:szCs w:val="22"/>
        </w:rPr>
        <w:t>тендера</w:t>
      </w:r>
      <w:proofErr w:type="gramEnd"/>
      <w:r w:rsidRPr="00347045">
        <w:rPr>
          <w:rFonts w:cs="Arial"/>
          <w:szCs w:val="22"/>
        </w:rPr>
        <w:t xml:space="preserve"> только если на дату принятия решения о признании </w:t>
      </w:r>
      <w:bookmarkStart w:id="0" w:name="_GoBack"/>
      <w:bookmarkEnd w:id="0"/>
      <w:r w:rsidRPr="00347045">
        <w:rPr>
          <w:rFonts w:cs="Arial"/>
          <w:szCs w:val="22"/>
        </w:rPr>
        <w:t>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proofErr w:type="gramStart"/>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AF3240">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proofErr w:type="spellStart"/>
      <w:r>
        <w:rPr>
          <w:color w:val="000000"/>
          <w:lang w:val="en-US"/>
        </w:rPr>
        <w:t>yanos</w:t>
      </w:r>
      <w:proofErr w:type="spellEnd"/>
      <w:r w:rsidRPr="008D1046">
        <w:rPr>
          <w:color w:val="000000"/>
        </w:rPr>
        <w:t>.</w:t>
      </w:r>
      <w:proofErr w:type="spellStart"/>
      <w:r>
        <w:rPr>
          <w:color w:val="000000"/>
          <w:lang w:val="en-US"/>
        </w:rPr>
        <w:t>slavneft</w:t>
      </w:r>
      <w:proofErr w:type="spellEnd"/>
      <w:r w:rsidRPr="006C517B">
        <w:rPr>
          <w:color w:val="000000"/>
        </w:rPr>
        <w:t>.</w:t>
      </w:r>
      <w:proofErr w:type="spellStart"/>
      <w:r>
        <w:rPr>
          <w:color w:val="000000"/>
          <w:lang w:val="en-US"/>
        </w:rPr>
        <w:t>ru</w:t>
      </w:r>
      <w:proofErr w:type="spellEnd"/>
      <w:r w:rsidR="00451AEB">
        <w:rPr>
          <w:color w:val="000000"/>
        </w:rPr>
        <w:t>.</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p>
    <w:sectPr w:rsidR="007E7FB8" w:rsidSect="00DE19C0">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286"/>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BC6"/>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0C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1D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19C0"/>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Kirillov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F89E9-1EA8-48B3-BB0F-48715E6A9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1450</Words>
  <Characters>10475</Characters>
  <Application>Microsoft Office Word</Application>
  <DocSecurity>0</DocSecurity>
  <Lines>87</Lines>
  <Paragraphs>23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11902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5</cp:revision>
  <cp:lastPrinted>2016-04-20T11:49:00Z</cp:lastPrinted>
  <dcterms:created xsi:type="dcterms:W3CDTF">2016-03-28T11:51:00Z</dcterms:created>
  <dcterms:modified xsi:type="dcterms:W3CDTF">2016-04-20T11:49:00Z</dcterms:modified>
</cp:coreProperties>
</file>