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Pr="00803D8E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03D8E">
        <w:rPr>
          <w:rFonts w:ascii="Times New Roman" w:eastAsia="Times New Roman" w:hAnsi="Times New Roman"/>
          <w:sz w:val="26"/>
          <w:szCs w:val="26"/>
        </w:rPr>
        <w:t>Сообщение о существенном факте</w:t>
      </w:r>
    </w:p>
    <w:p w:rsidR="0093152A" w:rsidRPr="00803D8E" w:rsidRDefault="0093152A" w:rsidP="009315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6"/>
          <w:szCs w:val="26"/>
        </w:rPr>
      </w:pPr>
      <w:r w:rsidRPr="00803D8E">
        <w:rPr>
          <w:rFonts w:ascii="Times New Roman" w:eastAsia="Times New Roman" w:hAnsi="Times New Roman"/>
          <w:sz w:val="26"/>
          <w:szCs w:val="26"/>
        </w:rPr>
        <w:t>«О совершении эмитентом сделки, в совершении которой имеется заинтересованность»</w:t>
      </w:r>
    </w:p>
    <w:p w:rsidR="0093152A" w:rsidRPr="00803D8E" w:rsidRDefault="0093152A" w:rsidP="0093152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803D8E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803D8E" w:rsidTr="00803D8E">
        <w:tc>
          <w:tcPr>
            <w:tcW w:w="4395" w:type="dxa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  <w:vAlign w:val="center"/>
          </w:tcPr>
          <w:p w:rsidR="00DC07B3" w:rsidRPr="00DC07B3" w:rsidRDefault="0093152A" w:rsidP="0080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</w:t>
            </w:r>
          </w:p>
          <w:p w:rsidR="0093152A" w:rsidRPr="00803D8E" w:rsidRDefault="0093152A" w:rsidP="0080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 «Нефтегазовая компания «</w:t>
            </w:r>
            <w:proofErr w:type="spellStart"/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803D8E" w:rsidTr="00803D8E">
        <w:tc>
          <w:tcPr>
            <w:tcW w:w="4395" w:type="dxa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  <w:vAlign w:val="center"/>
          </w:tcPr>
          <w:p w:rsidR="0093152A" w:rsidRPr="00803D8E" w:rsidRDefault="0093152A" w:rsidP="0080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803D8E" w:rsidTr="00803D8E">
        <w:tc>
          <w:tcPr>
            <w:tcW w:w="4395" w:type="dxa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vAlign w:val="center"/>
          </w:tcPr>
          <w:p w:rsidR="0093152A" w:rsidRPr="00803D8E" w:rsidRDefault="0093152A" w:rsidP="0080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803D8E" w:rsidTr="00803D8E">
        <w:tc>
          <w:tcPr>
            <w:tcW w:w="4395" w:type="dxa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vAlign w:val="center"/>
          </w:tcPr>
          <w:p w:rsidR="0093152A" w:rsidRPr="00803D8E" w:rsidRDefault="0093152A" w:rsidP="0080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803D8E" w:rsidTr="00803D8E">
        <w:tc>
          <w:tcPr>
            <w:tcW w:w="4395" w:type="dxa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vAlign w:val="center"/>
          </w:tcPr>
          <w:p w:rsidR="0093152A" w:rsidRPr="00803D8E" w:rsidRDefault="0093152A" w:rsidP="0080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803D8E" w:rsidTr="00803D8E">
        <w:tc>
          <w:tcPr>
            <w:tcW w:w="4395" w:type="dxa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  <w:vAlign w:val="center"/>
          </w:tcPr>
          <w:p w:rsidR="0093152A" w:rsidRPr="00803D8E" w:rsidRDefault="0093152A" w:rsidP="0080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803D8E" w:rsidTr="00803D8E">
        <w:tc>
          <w:tcPr>
            <w:tcW w:w="4395" w:type="dxa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vAlign w:val="center"/>
          </w:tcPr>
          <w:p w:rsidR="0093152A" w:rsidRPr="00803D8E" w:rsidRDefault="009F4144" w:rsidP="0080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5" w:history="1">
              <w:r w:rsidR="0093152A" w:rsidRPr="00803D8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93152A" w:rsidRPr="00803D8E" w:rsidRDefault="009F4144" w:rsidP="0080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93152A" w:rsidRPr="00803D8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93152A" w:rsidRPr="00803D8E" w:rsidRDefault="0093152A" w:rsidP="0093152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803D8E" w:rsidTr="002A2531">
        <w:tc>
          <w:tcPr>
            <w:tcW w:w="9782" w:type="dxa"/>
            <w:shd w:val="clear" w:color="auto" w:fill="auto"/>
          </w:tcPr>
          <w:p w:rsidR="0093152A" w:rsidRPr="00803D8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803D8E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FB0BBD" w:rsidRPr="009F4144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2.1. Категория сделки: </w:t>
            </w:r>
            <w:r w:rsidR="000A26ED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FB0BBD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делка, в совершении которой имелась заинтересованность</w:t>
            </w:r>
            <w:r w:rsidR="009F414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3152A" w:rsidRPr="00803D8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2.2. Вид и предмет сделки: </w:t>
            </w:r>
            <w:r w:rsidR="000A26ED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Дополнительное соглашение к д</w:t>
            </w:r>
            <w:r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оговор</w:t>
            </w:r>
            <w:r w:rsidR="000A26ED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</w:t>
            </w:r>
            <w:r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займа. </w:t>
            </w:r>
            <w:r w:rsidR="000A26ED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Изменение </w:t>
            </w:r>
            <w:r w:rsidR="007B6EA4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редакции Договора займа.</w:t>
            </w:r>
            <w:r w:rsidR="000A26ED"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70B60" w:rsidRPr="00DC07B3" w:rsidRDefault="0093152A" w:rsidP="00570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570B6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Заём предоставляется на срок до «30» октября 2018 года. Если указанное число (дата) приходится на нерабочий день, возврат полученной суммы займа должен быть осуществлен не п</w:t>
            </w:r>
            <w:r w:rsidR="00803D8E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озднее ближайшего следующего за</w:t>
            </w:r>
            <w:r w:rsidR="00570B6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ним рабочего дня. </w:t>
            </w:r>
          </w:p>
          <w:p w:rsidR="00570B60" w:rsidRPr="00803D8E" w:rsidRDefault="0093152A" w:rsidP="00931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2.4. Срок исполнени</w:t>
            </w:r>
            <w:r w:rsidR="00A149D1" w:rsidRPr="00803D8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0A26ED"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 обязательств по сделке</w:t>
            </w:r>
            <w:r w:rsidR="00570B60" w:rsidRPr="00803D8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0A26ED"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0B6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до «30» октября 2018 года. </w:t>
            </w:r>
          </w:p>
          <w:p w:rsidR="0093152A" w:rsidRPr="00803D8E" w:rsidRDefault="00803D8E" w:rsidP="00931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3152A" w:rsidRPr="00803D8E">
              <w:rPr>
                <w:rFonts w:ascii="Times New Roman" w:eastAsia="Times New Roman" w:hAnsi="Times New Roman"/>
                <w:sz w:val="24"/>
                <w:szCs w:val="24"/>
              </w:rPr>
              <w:t>тороны и выгодоприобретатели по с</w:t>
            </w:r>
            <w:r w:rsidR="005F1250"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делке: </w:t>
            </w:r>
            <w:r w:rsidR="005F125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 «СН-МНГ» (заи</w:t>
            </w:r>
            <w:r w:rsidR="0093152A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модавец) процентного займа </w:t>
            </w:r>
            <w:r w:rsidR="005F125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 «НГК «</w:t>
            </w:r>
            <w:proofErr w:type="spellStart"/>
            <w:r w:rsidR="005F125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Славнефть</w:t>
            </w:r>
            <w:proofErr w:type="spellEnd"/>
            <w:r w:rsidR="005F125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  <w:r w:rsidR="0093152A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(заёмщик), выгодоприобретатели по сделке отсутствуют.</w:t>
            </w:r>
          </w:p>
          <w:p w:rsidR="0093152A" w:rsidRPr="00803D8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сделки в денежном выражении: </w:t>
            </w:r>
            <w:r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не более </w:t>
            </w:r>
            <w:r w:rsidR="005F125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39 493 500</w:t>
            </w:r>
            <w:r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тыс. руб.,</w:t>
            </w: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 и в процентах от с</w:t>
            </w:r>
            <w:r w:rsidR="005F1250"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тоимости активов эмитента: </w:t>
            </w:r>
            <w:r w:rsidR="00570B6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78,83%.</w:t>
            </w:r>
          </w:p>
          <w:p w:rsidR="00570B60" w:rsidRPr="00803D8E" w:rsidRDefault="0093152A" w:rsidP="00570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570B6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50 102 369 тыс. руб. (по состоянию на 31.03.2017)</w:t>
            </w:r>
            <w:r w:rsidR="00570B60" w:rsidRPr="00803D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3152A" w:rsidRPr="00803D8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2.6. Дата совершения сделки (заключения договора): </w:t>
            </w:r>
            <w:r w:rsidR="00DC07B3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</w:t>
            </w:r>
            <w:r w:rsidR="00570B6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</w:t>
            </w:r>
            <w:r w:rsidR="00DC07B3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июня </w:t>
            </w:r>
            <w:r w:rsidR="00570B6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2017</w:t>
            </w:r>
            <w:r w:rsidR="00DC07B3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</w:t>
            </w:r>
            <w:r w:rsidR="00570B60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7B6EA4" w:rsidRPr="00DC07B3" w:rsidRDefault="007B6EA4" w:rsidP="007B6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2.7. П</w:t>
            </w:r>
            <w:r w:rsidRPr="00803D8E">
              <w:rPr>
                <w:rFonts w:ascii="Times New Roman" w:hAnsi="Times New Roman"/>
                <w:bCs/>
                <w:sz w:val="26"/>
                <w:szCs w:val="26"/>
              </w:rPr>
              <w:t>олное и сокращенное фирменные наименования</w:t>
            </w:r>
            <w:r w:rsidR="000C052F" w:rsidRPr="00803D8E">
              <w:rPr>
                <w:rFonts w:ascii="Times New Roman" w:hAnsi="Times New Roman"/>
                <w:bCs/>
                <w:sz w:val="26"/>
                <w:szCs w:val="26"/>
              </w:rPr>
              <w:t>, м</w:t>
            </w:r>
            <w:r w:rsidRPr="00803D8E">
              <w:rPr>
                <w:rFonts w:ascii="Times New Roman" w:hAnsi="Times New Roman"/>
                <w:bCs/>
                <w:sz w:val="26"/>
                <w:szCs w:val="26"/>
              </w:rPr>
              <w:t>есто нахождения юридического лица, признанного в соответствии с законодательством Российской Федерации лицом, заинтересованным в совершении эмитентом сделки</w:t>
            </w:r>
            <w:r w:rsidR="000C052F" w:rsidRPr="00803D8E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="000C052F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Общество с ограниченной ответственностью «Инвест Ойл», ООО «Инвест-Ойл», 117647, г. Москва, ул. Профсоюзная, д. 125 А.</w:t>
            </w:r>
          </w:p>
          <w:p w:rsidR="000C052F" w:rsidRPr="00DC07B3" w:rsidRDefault="000C052F" w:rsidP="007B6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03D8E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7B6EA4" w:rsidRPr="00803D8E">
              <w:rPr>
                <w:rFonts w:ascii="Times New Roman" w:hAnsi="Times New Roman"/>
                <w:bCs/>
                <w:sz w:val="26"/>
                <w:szCs w:val="26"/>
              </w:rPr>
              <w:t>снование (основания), по которому (по которым) такое лицо признано заинт</w:t>
            </w:r>
            <w:r w:rsidRPr="00803D8E">
              <w:rPr>
                <w:rFonts w:ascii="Times New Roman" w:hAnsi="Times New Roman"/>
                <w:bCs/>
                <w:sz w:val="26"/>
                <w:szCs w:val="26"/>
              </w:rPr>
              <w:t xml:space="preserve">ересованным в совершении сделки: </w:t>
            </w:r>
            <w:r w:rsidRPr="00DC07B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 соответствии со ст. 81 ФЗ №208-ФЗ от 26.12.1995 «Об акционерных обществах».</w:t>
            </w:r>
          </w:p>
          <w:p w:rsidR="000C052F" w:rsidRPr="00803D8E" w:rsidRDefault="000C052F" w:rsidP="007B6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3D8E">
              <w:rPr>
                <w:rFonts w:ascii="Times New Roman" w:hAnsi="Times New Roman"/>
                <w:bCs/>
                <w:sz w:val="26"/>
                <w:szCs w:val="26"/>
              </w:rPr>
              <w:t>Д</w:t>
            </w:r>
            <w:r w:rsidR="007B6EA4" w:rsidRPr="00803D8E">
              <w:rPr>
                <w:rFonts w:ascii="Times New Roman" w:hAnsi="Times New Roman"/>
                <w:bCs/>
                <w:sz w:val="26"/>
                <w:szCs w:val="26"/>
              </w:rPr>
              <w:t>оля участия заинтересованного лица в уставном (складочном) капитале (доля принадлежащих заинтересованному лицу акций) эмитента</w:t>
            </w:r>
            <w:r w:rsidRPr="00803D8E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DC07B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86,5342%.</w:t>
            </w:r>
          </w:p>
          <w:p w:rsidR="007B6EA4" w:rsidRPr="00893701" w:rsidRDefault="00487022" w:rsidP="007B6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3D8E">
              <w:rPr>
                <w:rFonts w:ascii="Times New Roman" w:hAnsi="Times New Roman"/>
                <w:bCs/>
                <w:sz w:val="26"/>
                <w:szCs w:val="26"/>
              </w:rPr>
              <w:t>Доля участия заинтересованного лица в уставном (складочном) капитале (доля принадлежащих заинтересованному лицу акций) ю</w:t>
            </w:r>
            <w:r w:rsidR="007B6EA4" w:rsidRPr="00803D8E">
              <w:rPr>
                <w:rFonts w:ascii="Times New Roman" w:hAnsi="Times New Roman"/>
                <w:bCs/>
                <w:sz w:val="26"/>
                <w:szCs w:val="26"/>
              </w:rPr>
              <w:t>ридического лица</w:t>
            </w:r>
            <w:r w:rsidR="000C052F" w:rsidRPr="00803D8E">
              <w:rPr>
                <w:rFonts w:ascii="Times New Roman" w:hAnsi="Times New Roman"/>
                <w:bCs/>
                <w:sz w:val="26"/>
                <w:szCs w:val="26"/>
              </w:rPr>
              <w:t xml:space="preserve">, являющегося </w:t>
            </w:r>
            <w:r w:rsidR="000C052F" w:rsidRPr="00803D8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стороной в сделке: </w:t>
            </w:r>
            <w:r w:rsid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0,0000%</w:t>
            </w:r>
            <w:r w:rsidRPr="00DC07B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  <w:r w:rsidRPr="00803D8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A73AEC" w:rsidRPr="00A73AEC" w:rsidRDefault="00A73AEC" w:rsidP="00A7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73AEC">
              <w:rPr>
                <w:rFonts w:ascii="Times New Roman" w:hAnsi="Times New Roman"/>
                <w:bCs/>
                <w:sz w:val="26"/>
                <w:szCs w:val="26"/>
              </w:rPr>
              <w:t xml:space="preserve">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A73AE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Папенко</w:t>
            </w:r>
            <w:proofErr w:type="spellEnd"/>
            <w:r w:rsidRPr="00A73AE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Сергей Алексеевич.</w:t>
            </w:r>
          </w:p>
          <w:p w:rsidR="00A73AEC" w:rsidRPr="00893701" w:rsidRDefault="00A73AEC" w:rsidP="00A7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A73AEC">
              <w:rPr>
                <w:rFonts w:ascii="Times New Roman" w:hAnsi="Times New Roman"/>
                <w:bCs/>
                <w:sz w:val="26"/>
                <w:szCs w:val="26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Член Совета директоров ОАО «НГК «</w:t>
            </w:r>
            <w:proofErr w:type="spellStart"/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Славнефть</w:t>
            </w:r>
            <w:proofErr w:type="spellEnd"/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» </w:t>
            </w:r>
            <w:proofErr w:type="spellStart"/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Папенко</w:t>
            </w:r>
            <w:proofErr w:type="spellEnd"/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С.А. входит в состав  органа управления (Совет директоров) ОАО «СН-МНГ»  являющегося стороной по сделке. </w:t>
            </w:r>
          </w:p>
          <w:p w:rsidR="00A73AEC" w:rsidRPr="00A73AEC" w:rsidRDefault="00A73AEC" w:rsidP="00A7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73AEC">
              <w:rPr>
                <w:rFonts w:ascii="Times New Roman" w:hAnsi="Times New Roman"/>
                <w:bCs/>
                <w:sz w:val="26"/>
                <w:szCs w:val="26"/>
              </w:rPr>
              <w:t xml:space="preserve">Доля участия заинтересованного лица в уставном  капитале (доля принадлежащих заинтересованному лицу акций) эмитента: </w:t>
            </w:r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0,0000%.</w:t>
            </w:r>
          </w:p>
          <w:p w:rsidR="00A73AEC" w:rsidRDefault="00A73AEC" w:rsidP="00A7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A73AEC">
              <w:rPr>
                <w:rFonts w:ascii="Times New Roman" w:hAnsi="Times New Roman"/>
                <w:bCs/>
                <w:sz w:val="26"/>
                <w:szCs w:val="26"/>
              </w:rPr>
              <w:t xml:space="preserve">Доля участия заинтересованного лица в уставном капитале юридического лица, являющегося стороной в сделке: </w:t>
            </w:r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0,0000 %.</w:t>
            </w:r>
          </w:p>
          <w:p w:rsidR="00893701" w:rsidRPr="00A73AEC" w:rsidRDefault="00893701" w:rsidP="00893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73AEC">
              <w:rPr>
                <w:rFonts w:ascii="Times New Roman" w:hAnsi="Times New Roman"/>
                <w:bCs/>
                <w:sz w:val="26"/>
                <w:szCs w:val="26"/>
              </w:rPr>
              <w:t xml:space="preserve">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Яковлев Вадим Владиславович</w:t>
            </w:r>
          </w:p>
          <w:p w:rsidR="00893701" w:rsidRPr="00893701" w:rsidRDefault="00893701" w:rsidP="00893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A73AEC">
              <w:rPr>
                <w:rFonts w:ascii="Times New Roman" w:hAnsi="Times New Roman"/>
                <w:bCs/>
                <w:sz w:val="26"/>
                <w:szCs w:val="26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Член Совета директоров</w:t>
            </w:r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ОАО «НГК «</w:t>
            </w:r>
            <w:proofErr w:type="spellStart"/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Славнефть</w:t>
            </w:r>
            <w:proofErr w:type="spellEnd"/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Яковлев В.В.</w:t>
            </w:r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входит в состав  органа управления (Совет директоров) ОАО «СН-МНГ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»,</w:t>
            </w:r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являющегося стороной по сделке. </w:t>
            </w:r>
          </w:p>
          <w:p w:rsidR="00893701" w:rsidRPr="00A73AEC" w:rsidRDefault="00893701" w:rsidP="00893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73AEC">
              <w:rPr>
                <w:rFonts w:ascii="Times New Roman" w:hAnsi="Times New Roman"/>
                <w:bCs/>
                <w:sz w:val="26"/>
                <w:szCs w:val="26"/>
              </w:rPr>
              <w:t xml:space="preserve">Доля участия заинтересованного лица в уставном  капитале (доля принадлежащих заинтересованному лицу акций) эмитента: </w:t>
            </w:r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0,0000%.</w:t>
            </w:r>
          </w:p>
          <w:p w:rsidR="00893701" w:rsidRPr="00A73AEC" w:rsidRDefault="00893701" w:rsidP="00893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73AEC">
              <w:rPr>
                <w:rFonts w:ascii="Times New Roman" w:hAnsi="Times New Roman"/>
                <w:bCs/>
                <w:sz w:val="26"/>
                <w:szCs w:val="26"/>
              </w:rPr>
              <w:t xml:space="preserve">Доля участия заинтересованного лица в уставном капитале юридического лица, являющегося стороной в сделке: </w:t>
            </w:r>
            <w:r w:rsidRPr="0089370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0,0000 %.</w:t>
            </w:r>
          </w:p>
          <w:p w:rsidR="0093152A" w:rsidRPr="00803D8E" w:rsidRDefault="000209E6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0209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3152A" w:rsidRPr="00803D8E">
              <w:rPr>
                <w:rFonts w:ascii="Times New Roman" w:eastAsia="Times New Roman" w:hAnsi="Times New Roman"/>
                <w:sz w:val="24"/>
                <w:szCs w:val="24"/>
              </w:rPr>
              <w:t>. Сведения об одобрении сделки в случае, когда такая сделка была одобрена уполномоченным органом управления эмитента:</w:t>
            </w:r>
          </w:p>
          <w:p w:rsidR="0093152A" w:rsidRPr="00803D8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органа управления эмитента, принявшего решение об одобрении сделки: </w:t>
            </w:r>
            <w:r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Общее собрание акционеров</w:t>
            </w:r>
          </w:p>
          <w:p w:rsidR="0093152A" w:rsidRPr="00803D8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Дата принятия указанного решения: </w:t>
            </w:r>
            <w:r w:rsidR="00DC07B3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</w:t>
            </w:r>
            <w:r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09</w:t>
            </w:r>
            <w:r w:rsidR="00DC07B3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марта </w:t>
            </w:r>
            <w:r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2016</w:t>
            </w:r>
            <w:r w:rsidR="00DC07B3"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года.</w:t>
            </w:r>
          </w:p>
          <w:p w:rsidR="0093152A" w:rsidRPr="00803D8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эмитента: </w:t>
            </w:r>
            <w:r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14.03.2016, протокол № 51.</w:t>
            </w:r>
          </w:p>
          <w:p w:rsidR="0093152A" w:rsidRPr="00803D8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Указание на то, что такая сделка не одобрялась: </w:t>
            </w:r>
            <w:r w:rsidRPr="00DC07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Не заполняется.</w:t>
            </w:r>
          </w:p>
        </w:tc>
      </w:tr>
    </w:tbl>
    <w:p w:rsidR="0093152A" w:rsidRPr="00803D8E" w:rsidRDefault="0093152A" w:rsidP="0093152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803D8E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93152A" w:rsidRPr="00803D8E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93152A" w:rsidRPr="00803D8E" w:rsidRDefault="0093152A" w:rsidP="00F66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F66C85" w:rsidRPr="00803D8E">
              <w:rPr>
                <w:rFonts w:ascii="Times New Roman" w:eastAsia="Times New Roman" w:hAnsi="Times New Roman"/>
                <w:sz w:val="24"/>
                <w:szCs w:val="24"/>
              </w:rPr>
              <w:t>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52A" w:rsidRPr="00803D8E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52A" w:rsidRPr="00803D8E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03D8E" w:rsidRDefault="00803D8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03D8E" w:rsidRDefault="00F66C85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03D8E" w:rsidRDefault="00F66C85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D8E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803D8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3152A" w:rsidRPr="00803D8E" w:rsidRDefault="0093152A" w:rsidP="0093152A">
      <w:pPr>
        <w:rPr>
          <w:rFonts w:ascii="Times New Roman" w:hAnsi="Times New Roman"/>
          <w:sz w:val="24"/>
          <w:szCs w:val="24"/>
        </w:rPr>
      </w:pPr>
    </w:p>
    <w:p w:rsidR="00E258FD" w:rsidRPr="00803D8E" w:rsidRDefault="00E258FD"/>
    <w:sectPr w:rsidR="00E258FD" w:rsidRPr="0080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0209E6"/>
    <w:rsid w:val="000A26ED"/>
    <w:rsid w:val="000C052F"/>
    <w:rsid w:val="00171DB3"/>
    <w:rsid w:val="002C438D"/>
    <w:rsid w:val="0043058A"/>
    <w:rsid w:val="00487022"/>
    <w:rsid w:val="004E2F5B"/>
    <w:rsid w:val="00534690"/>
    <w:rsid w:val="00556864"/>
    <w:rsid w:val="00570B60"/>
    <w:rsid w:val="005775E2"/>
    <w:rsid w:val="005F1250"/>
    <w:rsid w:val="007B6EA4"/>
    <w:rsid w:val="00803D8E"/>
    <w:rsid w:val="00832457"/>
    <w:rsid w:val="00893701"/>
    <w:rsid w:val="0093152A"/>
    <w:rsid w:val="009448E4"/>
    <w:rsid w:val="009F4144"/>
    <w:rsid w:val="00A149D1"/>
    <w:rsid w:val="00A73AEC"/>
    <w:rsid w:val="00DC07B3"/>
    <w:rsid w:val="00E258FD"/>
    <w:rsid w:val="00F66C85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13</cp:revision>
  <cp:lastPrinted>2017-07-19T15:00:00Z</cp:lastPrinted>
  <dcterms:created xsi:type="dcterms:W3CDTF">2017-07-18T16:43:00Z</dcterms:created>
  <dcterms:modified xsi:type="dcterms:W3CDTF">2017-07-19T15:00:00Z</dcterms:modified>
</cp:coreProperties>
</file>