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CDF" w:rsidRPr="006E773F" w:rsidRDefault="007A1CDF" w:rsidP="007A1CDF">
      <w:pPr>
        <w:ind w:firstLine="720"/>
        <w:jc w:val="center"/>
        <w:rPr>
          <w:b/>
          <w:szCs w:val="22"/>
        </w:rPr>
      </w:pPr>
      <w:r w:rsidRPr="006E773F">
        <w:rPr>
          <w:b/>
          <w:szCs w:val="22"/>
        </w:rPr>
        <w:t>Сообщение о существенном факте</w:t>
      </w:r>
    </w:p>
    <w:p w:rsidR="007A1CDF" w:rsidRPr="006E773F" w:rsidRDefault="007A1CDF" w:rsidP="007A1CDF">
      <w:pPr>
        <w:ind w:firstLine="720"/>
        <w:jc w:val="center"/>
        <w:rPr>
          <w:b/>
          <w:szCs w:val="22"/>
        </w:rPr>
      </w:pPr>
      <w:r w:rsidRPr="006E773F">
        <w:rPr>
          <w:b/>
          <w:szCs w:val="22"/>
        </w:rPr>
        <w:t>«Об иных событиях (действиях), оказывающих, по мнению эмитента, существенное влияние на стоимость или котировки его ценных бумаг»</w:t>
      </w:r>
    </w:p>
    <w:p w:rsidR="007F7528" w:rsidRPr="006E773F" w:rsidRDefault="007F7528" w:rsidP="00CF42DA">
      <w:pPr>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7"/>
        <w:gridCol w:w="5098"/>
      </w:tblGrid>
      <w:tr w:rsidR="006E773F" w:rsidRPr="006E773F" w:rsidTr="00EB1D12">
        <w:trPr>
          <w:cantSplit/>
        </w:trPr>
        <w:tc>
          <w:tcPr>
            <w:tcW w:w="5000" w:type="pct"/>
            <w:gridSpan w:val="2"/>
            <w:vAlign w:val="bottom"/>
          </w:tcPr>
          <w:p w:rsidR="00A656A3" w:rsidRPr="006E773F" w:rsidRDefault="00A656A3" w:rsidP="007F7528">
            <w:pPr>
              <w:jc w:val="center"/>
            </w:pPr>
            <w:r w:rsidRPr="006E773F">
              <w:t>1. Общие сведения</w:t>
            </w:r>
          </w:p>
        </w:tc>
      </w:tr>
      <w:tr w:rsidR="00C067B2" w:rsidRPr="006E773F" w:rsidTr="000C23B7">
        <w:tc>
          <w:tcPr>
            <w:tcW w:w="2500" w:type="pct"/>
          </w:tcPr>
          <w:p w:rsidR="00C067B2" w:rsidRPr="006E773F" w:rsidRDefault="00C067B2" w:rsidP="00C067B2">
            <w:pPr>
              <w:ind w:left="85" w:right="85"/>
              <w:jc w:val="left"/>
              <w:rPr>
                <w:szCs w:val="22"/>
              </w:rPr>
            </w:pPr>
            <w:r>
              <w:rPr>
                <w:szCs w:val="22"/>
              </w:rPr>
              <w:t xml:space="preserve">1.1. </w:t>
            </w:r>
            <w:r w:rsidRPr="005412D0">
              <w:rPr>
                <w:szCs w:val="22"/>
              </w:rPr>
              <w:t>Полное фирменное наименование (для коммерческой организации) или наименование (для некоммерческой организации) эмитента:</w:t>
            </w:r>
          </w:p>
        </w:tc>
        <w:tc>
          <w:tcPr>
            <w:tcW w:w="2500" w:type="pct"/>
          </w:tcPr>
          <w:p w:rsidR="00C067B2" w:rsidRPr="00C17966" w:rsidRDefault="00C067B2" w:rsidP="00C067B2">
            <w:pPr>
              <w:rPr>
                <w:b/>
                <w:i/>
                <w:szCs w:val="22"/>
              </w:rPr>
            </w:pPr>
            <w:r w:rsidRPr="00C17966">
              <w:rPr>
                <w:b/>
                <w:i/>
                <w:szCs w:val="22"/>
              </w:rPr>
              <w:t>Публичное акционерное общество «Нефтегазовая компания «</w:t>
            </w:r>
            <w:proofErr w:type="spellStart"/>
            <w:r w:rsidRPr="00C17966">
              <w:rPr>
                <w:b/>
                <w:i/>
                <w:szCs w:val="22"/>
              </w:rPr>
              <w:t>Славнефть</w:t>
            </w:r>
            <w:proofErr w:type="spellEnd"/>
            <w:r w:rsidRPr="00C17966">
              <w:rPr>
                <w:b/>
                <w:i/>
                <w:szCs w:val="22"/>
              </w:rPr>
              <w:t>»</w:t>
            </w:r>
          </w:p>
        </w:tc>
      </w:tr>
      <w:tr w:rsidR="00C067B2" w:rsidRPr="006E773F" w:rsidTr="000C23B7">
        <w:tc>
          <w:tcPr>
            <w:tcW w:w="2500" w:type="pct"/>
          </w:tcPr>
          <w:p w:rsidR="00C067B2" w:rsidRPr="006E773F" w:rsidRDefault="00C067B2" w:rsidP="00C067B2">
            <w:pPr>
              <w:ind w:left="85" w:right="85"/>
              <w:jc w:val="left"/>
              <w:rPr>
                <w:szCs w:val="22"/>
              </w:rPr>
            </w:pPr>
            <w:r w:rsidRPr="005412D0">
              <w:rPr>
                <w:szCs w:val="22"/>
              </w:rPr>
              <w:t>1.2. Адрес эмитента, указанный в едином государственном реестре юридических лиц:</w:t>
            </w:r>
          </w:p>
        </w:tc>
        <w:tc>
          <w:tcPr>
            <w:tcW w:w="2500" w:type="pct"/>
          </w:tcPr>
          <w:p w:rsidR="00C067B2" w:rsidRPr="00C17966" w:rsidRDefault="00C067B2" w:rsidP="00C067B2">
            <w:pPr>
              <w:rPr>
                <w:b/>
                <w:i/>
                <w:szCs w:val="22"/>
              </w:rPr>
            </w:pPr>
            <w:r w:rsidRPr="00C17966">
              <w:rPr>
                <w:b/>
                <w:i/>
                <w:szCs w:val="22"/>
              </w:rPr>
              <w:t>125047, Москва город, 4-й Лесной переулок, дом 4, этаж 11</w:t>
            </w:r>
          </w:p>
        </w:tc>
      </w:tr>
      <w:tr w:rsidR="00C067B2" w:rsidRPr="006E773F" w:rsidTr="00C067B2">
        <w:tc>
          <w:tcPr>
            <w:tcW w:w="2500" w:type="pct"/>
          </w:tcPr>
          <w:p w:rsidR="00C067B2" w:rsidRPr="006E773F" w:rsidRDefault="00C067B2" w:rsidP="00C067B2">
            <w:pPr>
              <w:ind w:left="85" w:right="85"/>
              <w:jc w:val="left"/>
              <w:rPr>
                <w:szCs w:val="22"/>
              </w:rPr>
            </w:pPr>
            <w:r w:rsidRPr="005412D0">
              <w:rPr>
                <w:szCs w:val="22"/>
              </w:rPr>
              <w:t>1.3. Основной государственный регистрационный номер (ОГРН) эмитента (при наличии):</w:t>
            </w:r>
          </w:p>
        </w:tc>
        <w:tc>
          <w:tcPr>
            <w:tcW w:w="2500" w:type="pct"/>
          </w:tcPr>
          <w:p w:rsidR="00C067B2" w:rsidRPr="00C17966" w:rsidRDefault="00C067B2" w:rsidP="00C067B2">
            <w:pPr>
              <w:rPr>
                <w:b/>
                <w:i/>
                <w:szCs w:val="22"/>
              </w:rPr>
            </w:pPr>
            <w:r w:rsidRPr="00C17966">
              <w:rPr>
                <w:b/>
                <w:i/>
                <w:szCs w:val="22"/>
              </w:rPr>
              <w:t>1027739026270</w:t>
            </w:r>
          </w:p>
        </w:tc>
      </w:tr>
      <w:tr w:rsidR="00C067B2" w:rsidRPr="006E773F" w:rsidTr="00C067B2">
        <w:tc>
          <w:tcPr>
            <w:tcW w:w="2500" w:type="pct"/>
          </w:tcPr>
          <w:p w:rsidR="00C067B2" w:rsidRPr="006E773F" w:rsidRDefault="00C067B2" w:rsidP="00C067B2">
            <w:pPr>
              <w:ind w:left="85" w:right="85"/>
              <w:jc w:val="left"/>
              <w:rPr>
                <w:szCs w:val="22"/>
              </w:rPr>
            </w:pPr>
            <w:r w:rsidRPr="005412D0">
              <w:rPr>
                <w:szCs w:val="22"/>
              </w:rPr>
              <w:t>1.4.</w:t>
            </w:r>
            <w:r>
              <w:rPr>
                <w:szCs w:val="22"/>
              </w:rPr>
              <w:t xml:space="preserve"> </w:t>
            </w:r>
            <w:r w:rsidRPr="005412D0">
              <w:rPr>
                <w:szCs w:val="22"/>
              </w:rPr>
              <w:t>Идентификационный номер налогоплательщика (ИНН) эмитента (при наличии):</w:t>
            </w:r>
          </w:p>
        </w:tc>
        <w:tc>
          <w:tcPr>
            <w:tcW w:w="2500" w:type="pct"/>
          </w:tcPr>
          <w:p w:rsidR="00C067B2" w:rsidRPr="00C17966" w:rsidRDefault="00C067B2" w:rsidP="00C067B2">
            <w:pPr>
              <w:rPr>
                <w:b/>
                <w:i/>
                <w:szCs w:val="22"/>
              </w:rPr>
            </w:pPr>
            <w:r w:rsidRPr="00C17966">
              <w:rPr>
                <w:b/>
                <w:i/>
                <w:szCs w:val="22"/>
              </w:rPr>
              <w:t>7707017509</w:t>
            </w:r>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1.5. Уникальный код эмитента, присвоенный Банком России:</w:t>
            </w:r>
          </w:p>
        </w:tc>
        <w:tc>
          <w:tcPr>
            <w:tcW w:w="2500" w:type="pct"/>
          </w:tcPr>
          <w:p w:rsidR="00C067B2" w:rsidRPr="00C17966" w:rsidRDefault="00C067B2" w:rsidP="00C067B2">
            <w:pPr>
              <w:rPr>
                <w:b/>
                <w:i/>
                <w:szCs w:val="22"/>
              </w:rPr>
            </w:pPr>
            <w:r w:rsidRPr="00C17966">
              <w:rPr>
                <w:b/>
                <w:i/>
                <w:szCs w:val="22"/>
              </w:rPr>
              <w:t>00221-А</w:t>
            </w:r>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1.6. Адрес страницы в сети "Интернет", используемой эмитентом для раскрытия информации:</w:t>
            </w:r>
          </w:p>
        </w:tc>
        <w:tc>
          <w:tcPr>
            <w:tcW w:w="2500" w:type="pct"/>
          </w:tcPr>
          <w:p w:rsidR="00C067B2" w:rsidRPr="00C17966" w:rsidRDefault="00795B4C" w:rsidP="00C067B2">
            <w:pPr>
              <w:spacing w:before="120" w:after="120"/>
              <w:ind w:right="57"/>
              <w:rPr>
                <w:b/>
                <w:i/>
                <w:szCs w:val="22"/>
              </w:rPr>
            </w:pPr>
            <w:hyperlink r:id="rId8" w:history="1">
              <w:r w:rsidR="00C067B2" w:rsidRPr="00C17966">
                <w:rPr>
                  <w:rStyle w:val="af0"/>
                  <w:b/>
                  <w:i/>
                  <w:szCs w:val="22"/>
                </w:rPr>
                <w:t>http://www.e-disclosure.ru/portal/company.aspx?id=560</w:t>
              </w:r>
            </w:hyperlink>
            <w:r w:rsidR="00C067B2" w:rsidRPr="00C17966">
              <w:rPr>
                <w:b/>
                <w:i/>
                <w:szCs w:val="22"/>
              </w:rPr>
              <w:t>;</w:t>
            </w:r>
          </w:p>
          <w:p w:rsidR="00C067B2" w:rsidRPr="00C17966" w:rsidRDefault="00795B4C" w:rsidP="00C067B2">
            <w:pPr>
              <w:rPr>
                <w:b/>
                <w:i/>
                <w:szCs w:val="22"/>
              </w:rPr>
            </w:pPr>
            <w:hyperlink r:id="rId9" w:history="1">
              <w:r w:rsidR="00C067B2" w:rsidRPr="00C17966">
                <w:rPr>
                  <w:rStyle w:val="af0"/>
                  <w:b/>
                  <w:i/>
                  <w:szCs w:val="22"/>
                </w:rPr>
                <w:t>http://www.slavneft.ru</w:t>
              </w:r>
            </w:hyperlink>
          </w:p>
        </w:tc>
      </w:tr>
      <w:tr w:rsidR="00C067B2" w:rsidRPr="006E773F" w:rsidTr="000C23B7">
        <w:tc>
          <w:tcPr>
            <w:tcW w:w="2500" w:type="pct"/>
          </w:tcPr>
          <w:p w:rsidR="00C067B2" w:rsidRPr="006E773F" w:rsidRDefault="00C067B2" w:rsidP="00C067B2">
            <w:pPr>
              <w:ind w:left="85" w:right="57"/>
              <w:jc w:val="left"/>
              <w:rPr>
                <w:szCs w:val="22"/>
              </w:rPr>
            </w:pPr>
            <w:r w:rsidRPr="005412D0">
              <w:rPr>
                <w:szCs w:val="22"/>
              </w:rPr>
              <w:t>1.7. Дата наступления события (существенного факта), о котором составлено сообщение:</w:t>
            </w:r>
          </w:p>
        </w:tc>
        <w:tc>
          <w:tcPr>
            <w:tcW w:w="2500" w:type="pct"/>
          </w:tcPr>
          <w:p w:rsidR="00C067B2" w:rsidRPr="00C17966" w:rsidRDefault="00C067B2" w:rsidP="00C067B2">
            <w:pPr>
              <w:rPr>
                <w:b/>
                <w:i/>
                <w:szCs w:val="22"/>
              </w:rPr>
            </w:pPr>
            <w:r w:rsidRPr="00C17966">
              <w:rPr>
                <w:b/>
                <w:i/>
                <w:szCs w:val="22"/>
              </w:rPr>
              <w:t>2</w:t>
            </w:r>
            <w:r w:rsidR="00D710D0">
              <w:rPr>
                <w:b/>
                <w:i/>
                <w:szCs w:val="22"/>
              </w:rPr>
              <w:t>8</w:t>
            </w:r>
            <w:r w:rsidRPr="00C17966">
              <w:rPr>
                <w:b/>
                <w:i/>
                <w:szCs w:val="22"/>
              </w:rPr>
              <w:t>.</w:t>
            </w:r>
            <w:r w:rsidR="00D710D0">
              <w:rPr>
                <w:b/>
                <w:i/>
                <w:szCs w:val="22"/>
              </w:rPr>
              <w:t>03</w:t>
            </w:r>
            <w:r w:rsidRPr="00C17966">
              <w:rPr>
                <w:b/>
                <w:i/>
                <w:szCs w:val="22"/>
              </w:rPr>
              <w:t>.202</w:t>
            </w:r>
            <w:r w:rsidR="00D710D0">
              <w:rPr>
                <w:b/>
                <w:i/>
                <w:szCs w:val="22"/>
              </w:rPr>
              <w:t>3</w:t>
            </w:r>
          </w:p>
        </w:tc>
      </w:tr>
      <w:tr w:rsidR="006E773F" w:rsidRPr="006E773F" w:rsidTr="0032501D">
        <w:tc>
          <w:tcPr>
            <w:tcW w:w="5000" w:type="pct"/>
            <w:gridSpan w:val="2"/>
          </w:tcPr>
          <w:p w:rsidR="00EC4E39" w:rsidRPr="006D5E6A" w:rsidRDefault="00EC4E39" w:rsidP="006D5E6A">
            <w:pPr>
              <w:jc w:val="center"/>
              <w:rPr>
                <w:b/>
              </w:rPr>
            </w:pPr>
            <w:r w:rsidRPr="006D5E6A">
              <w:rPr>
                <w:b/>
              </w:rPr>
              <w:t>2. Содержание сообщения</w:t>
            </w:r>
            <w:r w:rsidR="005F7B9E" w:rsidRPr="006D5E6A">
              <w:rPr>
                <w:b/>
              </w:rPr>
              <w:t xml:space="preserve"> </w:t>
            </w:r>
            <w:r w:rsidRPr="006D5E6A">
              <w:rPr>
                <w:b/>
              </w:rPr>
              <w:t>«</w:t>
            </w:r>
            <w:r w:rsidR="000C23B7" w:rsidRPr="006D5E6A">
              <w:rPr>
                <w:b/>
              </w:rPr>
              <w:t>Исполнение эмитентом обязательств по приобретению Облигаций по требованию владельца (владельцев)</w:t>
            </w:r>
            <w:r w:rsidRPr="006D5E6A">
              <w:rPr>
                <w:b/>
              </w:rPr>
              <w:t>»</w:t>
            </w:r>
          </w:p>
        </w:tc>
      </w:tr>
      <w:tr w:rsidR="005412D0" w:rsidRPr="006E773F" w:rsidTr="0032501D">
        <w:tc>
          <w:tcPr>
            <w:tcW w:w="5000" w:type="pct"/>
            <w:gridSpan w:val="2"/>
          </w:tcPr>
          <w:p w:rsidR="000C23B7" w:rsidRPr="00C067B2" w:rsidRDefault="000C23B7" w:rsidP="005412D0">
            <w:pPr>
              <w:rPr>
                <w:szCs w:val="22"/>
              </w:rPr>
            </w:pPr>
            <w:r w:rsidRPr="000C23B7">
              <w:t xml:space="preserve">2.1. Вид, категория (тип) и иные идентификационные признаки таких ценных бумаг эмитента: </w:t>
            </w:r>
            <w:r w:rsidR="00C067B2" w:rsidRPr="00C067B2">
              <w:rPr>
                <w:b/>
                <w:i/>
                <w:szCs w:val="22"/>
                <w:shd w:val="clear" w:color="auto" w:fill="FFFFFF"/>
              </w:rPr>
              <w:t>биржевые облигации документарные процентные неконвертируемые на предъявителя с обязательным централизованным хранением серии 001P-0</w:t>
            </w:r>
            <w:r w:rsidR="00D710D0">
              <w:rPr>
                <w:b/>
                <w:i/>
                <w:szCs w:val="22"/>
                <w:shd w:val="clear" w:color="auto" w:fill="FFFFFF"/>
              </w:rPr>
              <w:t>2</w:t>
            </w:r>
            <w:r w:rsidR="00C067B2" w:rsidRPr="00C067B2">
              <w:rPr>
                <w:b/>
                <w:i/>
                <w:szCs w:val="22"/>
                <w:shd w:val="clear" w:color="auto" w:fill="FFFFFF"/>
              </w:rPr>
              <w:t xml:space="preserve"> (идентификационный номер выпуска 4B02-0</w:t>
            </w:r>
            <w:r w:rsidR="00D710D0">
              <w:rPr>
                <w:b/>
                <w:i/>
                <w:szCs w:val="22"/>
                <w:shd w:val="clear" w:color="auto" w:fill="FFFFFF"/>
              </w:rPr>
              <w:t>2</w:t>
            </w:r>
            <w:r w:rsidR="00C067B2" w:rsidRPr="00C067B2">
              <w:rPr>
                <w:b/>
                <w:i/>
                <w:szCs w:val="22"/>
                <w:shd w:val="clear" w:color="auto" w:fill="FFFFFF"/>
              </w:rPr>
              <w:t>-00221-A-001P от 2</w:t>
            </w:r>
            <w:r w:rsidR="00D710D0">
              <w:rPr>
                <w:b/>
                <w:i/>
                <w:szCs w:val="22"/>
                <w:shd w:val="clear" w:color="auto" w:fill="FFFFFF"/>
              </w:rPr>
              <w:t>1</w:t>
            </w:r>
            <w:r w:rsidR="00C067B2" w:rsidRPr="00C067B2">
              <w:rPr>
                <w:b/>
                <w:i/>
                <w:szCs w:val="22"/>
                <w:shd w:val="clear" w:color="auto" w:fill="FFFFFF"/>
              </w:rPr>
              <w:t>.</w:t>
            </w:r>
            <w:r w:rsidR="00D710D0">
              <w:rPr>
                <w:b/>
                <w:i/>
                <w:szCs w:val="22"/>
                <w:shd w:val="clear" w:color="auto" w:fill="FFFFFF"/>
              </w:rPr>
              <w:t>03</w:t>
            </w:r>
            <w:r w:rsidR="00C067B2" w:rsidRPr="00C067B2">
              <w:rPr>
                <w:b/>
                <w:i/>
                <w:szCs w:val="22"/>
                <w:shd w:val="clear" w:color="auto" w:fill="FFFFFF"/>
              </w:rPr>
              <w:t>.2019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D710D0" w:rsidRPr="00D710D0">
              <w:rPr>
                <w:b/>
                <w:i/>
                <w:szCs w:val="22"/>
                <w:shd w:val="clear" w:color="auto" w:fill="FFFFFF"/>
                <w:lang w:val="en-US"/>
              </w:rPr>
              <w:t>RU</w:t>
            </w:r>
            <w:r w:rsidR="00D710D0" w:rsidRPr="00D710D0">
              <w:rPr>
                <w:b/>
                <w:i/>
                <w:szCs w:val="22"/>
                <w:shd w:val="clear" w:color="auto" w:fill="FFFFFF"/>
              </w:rPr>
              <w:t>000</w:t>
            </w:r>
            <w:r w:rsidR="00D710D0" w:rsidRPr="00D710D0">
              <w:rPr>
                <w:b/>
                <w:i/>
                <w:szCs w:val="22"/>
                <w:shd w:val="clear" w:color="auto" w:fill="FFFFFF"/>
                <w:lang w:val="en-US"/>
              </w:rPr>
              <w:t>A</w:t>
            </w:r>
            <w:r w:rsidR="00D710D0" w:rsidRPr="00D710D0">
              <w:rPr>
                <w:b/>
                <w:i/>
                <w:szCs w:val="22"/>
                <w:shd w:val="clear" w:color="auto" w:fill="FFFFFF"/>
              </w:rPr>
              <w:t>1007</w:t>
            </w:r>
            <w:r w:rsidR="00D710D0" w:rsidRPr="00D710D0">
              <w:rPr>
                <w:b/>
                <w:i/>
                <w:szCs w:val="22"/>
                <w:shd w:val="clear" w:color="auto" w:fill="FFFFFF"/>
                <w:lang w:val="en-US"/>
              </w:rPr>
              <w:t>H</w:t>
            </w:r>
            <w:r w:rsidR="00D710D0" w:rsidRPr="00D710D0">
              <w:rPr>
                <w:b/>
                <w:i/>
                <w:szCs w:val="22"/>
                <w:shd w:val="clear" w:color="auto" w:fill="FFFFFF"/>
              </w:rPr>
              <w:t>0</w:t>
            </w:r>
            <w:r w:rsidR="00C067B2" w:rsidRPr="00C067B2">
              <w:rPr>
                <w:b/>
                <w:i/>
                <w:szCs w:val="22"/>
                <w:shd w:val="clear" w:color="auto" w:fill="FFFFFF"/>
              </w:rPr>
              <w:t xml:space="preserve">) </w:t>
            </w:r>
            <w:r w:rsidRPr="00C067B2">
              <w:rPr>
                <w:b/>
                <w:i/>
                <w:szCs w:val="22"/>
              </w:rPr>
              <w:t>(далее – Биржевые облигации)</w:t>
            </w:r>
            <w:r w:rsidRPr="00C067B2">
              <w:rPr>
                <w:szCs w:val="22"/>
              </w:rPr>
              <w:t xml:space="preserve">. </w:t>
            </w:r>
          </w:p>
          <w:p w:rsidR="005F7B9E" w:rsidRDefault="005F7B9E" w:rsidP="005412D0"/>
          <w:p w:rsidR="000C23B7" w:rsidRPr="000C23B7" w:rsidRDefault="000C23B7" w:rsidP="005412D0">
            <w:pPr>
              <w:rPr>
                <w:b/>
                <w:i/>
                <w:szCs w:val="22"/>
              </w:rPr>
            </w:pPr>
            <w:r w:rsidRPr="000C23B7">
              <w:t xml:space="preserve">2.2. Краткое описание события (действия), наступление (совершение) которого, по мнению эмитента, оказывает влияние на стоимость или котировки его ценных бумаг: </w:t>
            </w:r>
            <w:r w:rsidRPr="000C23B7">
              <w:rPr>
                <w:b/>
                <w:i/>
                <w:szCs w:val="22"/>
              </w:rPr>
              <w:t xml:space="preserve">исполнение Эмитентом обязательств по приобретению </w:t>
            </w:r>
            <w:r w:rsidR="002D0F4D">
              <w:rPr>
                <w:b/>
                <w:i/>
                <w:szCs w:val="22"/>
              </w:rPr>
              <w:t xml:space="preserve">Биржевых </w:t>
            </w:r>
            <w:r w:rsidR="00C067B2">
              <w:rPr>
                <w:b/>
                <w:i/>
                <w:szCs w:val="22"/>
              </w:rPr>
              <w:t>облигаций по</w:t>
            </w:r>
            <w:r w:rsidRPr="000C23B7">
              <w:rPr>
                <w:b/>
                <w:i/>
                <w:szCs w:val="22"/>
              </w:rPr>
              <w:t xml:space="preserve"> требованию </w:t>
            </w:r>
            <w:r w:rsidRPr="004B461C">
              <w:rPr>
                <w:b/>
                <w:i/>
                <w:szCs w:val="22"/>
              </w:rPr>
              <w:t>их в</w:t>
            </w:r>
            <w:r w:rsidR="00C067B2">
              <w:rPr>
                <w:b/>
                <w:i/>
                <w:szCs w:val="22"/>
              </w:rPr>
              <w:t>ладельца (владельцев). 2</w:t>
            </w:r>
            <w:r w:rsidR="00D710D0">
              <w:rPr>
                <w:b/>
                <w:i/>
                <w:szCs w:val="22"/>
              </w:rPr>
              <w:t>8</w:t>
            </w:r>
            <w:r w:rsidR="00C067B2">
              <w:rPr>
                <w:b/>
                <w:i/>
                <w:szCs w:val="22"/>
              </w:rPr>
              <w:t>.</w:t>
            </w:r>
            <w:r w:rsidR="00D710D0">
              <w:rPr>
                <w:b/>
                <w:i/>
                <w:szCs w:val="22"/>
              </w:rPr>
              <w:t>03</w:t>
            </w:r>
            <w:r w:rsidRPr="004B461C">
              <w:rPr>
                <w:b/>
                <w:i/>
                <w:szCs w:val="22"/>
              </w:rPr>
              <w:t>.202</w:t>
            </w:r>
            <w:r w:rsidR="00D710D0">
              <w:rPr>
                <w:b/>
                <w:i/>
                <w:szCs w:val="22"/>
              </w:rPr>
              <w:t>3</w:t>
            </w:r>
            <w:r w:rsidRPr="004B461C">
              <w:rPr>
                <w:b/>
                <w:i/>
                <w:szCs w:val="22"/>
              </w:rPr>
              <w:t xml:space="preserve"> Эмитентом приобретены </w:t>
            </w:r>
            <w:r w:rsidR="002D0F4D">
              <w:rPr>
                <w:b/>
                <w:i/>
                <w:szCs w:val="22"/>
              </w:rPr>
              <w:t>Биржевые облигации</w:t>
            </w:r>
            <w:r w:rsidR="002D0F4D" w:rsidRPr="004B461C">
              <w:rPr>
                <w:b/>
                <w:i/>
                <w:szCs w:val="22"/>
              </w:rPr>
              <w:t xml:space="preserve"> </w:t>
            </w:r>
            <w:r w:rsidRPr="004B461C">
              <w:rPr>
                <w:b/>
                <w:i/>
                <w:szCs w:val="22"/>
              </w:rPr>
              <w:t xml:space="preserve">в </w:t>
            </w:r>
            <w:r w:rsidRPr="00795B4C">
              <w:rPr>
                <w:b/>
                <w:i/>
                <w:szCs w:val="22"/>
              </w:rPr>
              <w:t xml:space="preserve">количестве </w:t>
            </w:r>
            <w:r w:rsidR="003B3EB1" w:rsidRPr="00795B4C">
              <w:rPr>
                <w:b/>
                <w:i/>
                <w:szCs w:val="22"/>
              </w:rPr>
              <w:t>9 9</w:t>
            </w:r>
            <w:r w:rsidR="003D2EF3" w:rsidRPr="00795B4C">
              <w:rPr>
                <w:b/>
                <w:i/>
                <w:szCs w:val="22"/>
              </w:rPr>
              <w:t>5</w:t>
            </w:r>
            <w:r w:rsidR="00795B4C" w:rsidRPr="00795B4C">
              <w:rPr>
                <w:b/>
                <w:i/>
                <w:szCs w:val="22"/>
              </w:rPr>
              <w:t>0</w:t>
            </w:r>
            <w:r w:rsidR="003B3EB1" w:rsidRPr="00795B4C">
              <w:rPr>
                <w:b/>
                <w:i/>
                <w:szCs w:val="22"/>
              </w:rPr>
              <w:t xml:space="preserve"> </w:t>
            </w:r>
            <w:r w:rsidR="00795B4C" w:rsidRPr="00795B4C">
              <w:rPr>
                <w:b/>
                <w:i/>
                <w:szCs w:val="22"/>
              </w:rPr>
              <w:t>945</w:t>
            </w:r>
            <w:r w:rsidRPr="003B3EB1">
              <w:rPr>
                <w:b/>
                <w:i/>
                <w:szCs w:val="22"/>
              </w:rPr>
              <w:t xml:space="preserve"> (</w:t>
            </w:r>
            <w:r w:rsidR="003B3EB1" w:rsidRPr="003B3EB1">
              <w:rPr>
                <w:b/>
                <w:i/>
                <w:szCs w:val="22"/>
              </w:rPr>
              <w:t xml:space="preserve">Девять миллионов девятьсот </w:t>
            </w:r>
            <w:r w:rsidR="003D2EF3">
              <w:rPr>
                <w:b/>
                <w:i/>
                <w:szCs w:val="22"/>
              </w:rPr>
              <w:t xml:space="preserve">пятьдесят </w:t>
            </w:r>
            <w:r w:rsidR="003B3EB1" w:rsidRPr="003B3EB1">
              <w:rPr>
                <w:b/>
                <w:i/>
                <w:szCs w:val="22"/>
              </w:rPr>
              <w:t xml:space="preserve">тысяч </w:t>
            </w:r>
            <w:r w:rsidR="00795B4C">
              <w:rPr>
                <w:b/>
                <w:i/>
                <w:szCs w:val="22"/>
              </w:rPr>
              <w:t>девятьсот сорок пять</w:t>
            </w:r>
            <w:r w:rsidRPr="003B3EB1">
              <w:rPr>
                <w:b/>
                <w:i/>
                <w:szCs w:val="22"/>
              </w:rPr>
              <w:t>)</w:t>
            </w:r>
            <w:r w:rsidRPr="004B461C">
              <w:rPr>
                <w:b/>
                <w:i/>
                <w:szCs w:val="22"/>
              </w:rPr>
              <w:t xml:space="preserve"> штук по цене приобретения </w:t>
            </w:r>
            <w:r w:rsidR="002D0F4D">
              <w:rPr>
                <w:b/>
                <w:i/>
                <w:szCs w:val="22"/>
              </w:rPr>
              <w:t>Биржевых облигаций</w:t>
            </w:r>
            <w:r w:rsidRPr="004B461C">
              <w:rPr>
                <w:b/>
                <w:i/>
                <w:szCs w:val="22"/>
              </w:rPr>
              <w:t>, определенной</w:t>
            </w:r>
            <w:r w:rsidRPr="000C23B7">
              <w:rPr>
                <w:b/>
                <w:i/>
                <w:szCs w:val="22"/>
              </w:rPr>
              <w:t xml:space="preserve"> как 100 (сто) процентов от непогашенной части номинальной стоимости </w:t>
            </w:r>
            <w:r w:rsidR="002D0F4D">
              <w:rPr>
                <w:b/>
                <w:i/>
                <w:szCs w:val="22"/>
              </w:rPr>
              <w:t>Биржевых облигаций</w:t>
            </w:r>
            <w:r w:rsidR="002D0F4D" w:rsidRPr="000C23B7">
              <w:rPr>
                <w:b/>
                <w:i/>
                <w:szCs w:val="22"/>
              </w:rPr>
              <w:t xml:space="preserve"> </w:t>
            </w:r>
            <w:r w:rsidRPr="000C23B7">
              <w:rPr>
                <w:b/>
                <w:i/>
                <w:szCs w:val="22"/>
              </w:rPr>
              <w:t>и составляющей 1000 (одна тысяча) рублей. При совершении сделок купли-продажи Эмитентом дополнительно выплачен накопленн</w:t>
            </w:r>
            <w:bookmarkStart w:id="0" w:name="_GoBack"/>
            <w:bookmarkEnd w:id="0"/>
            <w:r w:rsidRPr="000C23B7">
              <w:rPr>
                <w:b/>
                <w:i/>
                <w:szCs w:val="22"/>
              </w:rPr>
              <w:t xml:space="preserve">ый купонный доход владельцам </w:t>
            </w:r>
            <w:r w:rsidR="002D0F4D">
              <w:rPr>
                <w:b/>
                <w:i/>
                <w:szCs w:val="22"/>
              </w:rPr>
              <w:t>Биржевых облигаций</w:t>
            </w:r>
            <w:r w:rsidRPr="000C23B7">
              <w:rPr>
                <w:b/>
                <w:i/>
                <w:szCs w:val="22"/>
              </w:rPr>
              <w:t xml:space="preserve">, рассчитанный на дату приобретения. </w:t>
            </w:r>
          </w:p>
          <w:p w:rsidR="005F7B9E" w:rsidRDefault="005F7B9E" w:rsidP="005412D0"/>
          <w:p w:rsidR="000C23B7" w:rsidRPr="000C23B7" w:rsidRDefault="000C23B7" w:rsidP="005412D0">
            <w:r w:rsidRPr="000C23B7">
              <w:t xml:space="preserve">2.3.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 </w:t>
            </w:r>
            <w:r w:rsidRPr="000C23B7">
              <w:rPr>
                <w:b/>
                <w:i/>
                <w:szCs w:val="22"/>
              </w:rPr>
              <w:t xml:space="preserve">привести информацию не представляется возможным, информация затрагивает инвесторов </w:t>
            </w:r>
            <w:r w:rsidR="002D0F4D">
              <w:rPr>
                <w:b/>
                <w:i/>
                <w:szCs w:val="22"/>
              </w:rPr>
              <w:t>Биржевых облигаций</w:t>
            </w:r>
            <w:r w:rsidRPr="000C23B7">
              <w:rPr>
                <w:b/>
                <w:i/>
                <w:szCs w:val="22"/>
              </w:rPr>
              <w:t>.</w:t>
            </w:r>
            <w:r w:rsidRPr="000C23B7">
              <w:t xml:space="preserve"> </w:t>
            </w:r>
          </w:p>
          <w:p w:rsidR="005F7B9E" w:rsidRDefault="005F7B9E" w:rsidP="005412D0"/>
          <w:p w:rsidR="000C23B7" w:rsidRPr="000C23B7" w:rsidRDefault="000C23B7" w:rsidP="005412D0">
            <w:pPr>
              <w:rPr>
                <w:b/>
                <w:i/>
                <w:szCs w:val="22"/>
              </w:rPr>
            </w:pPr>
            <w:r w:rsidRPr="000C23B7">
              <w:t xml:space="preserve">2.4.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 </w:t>
            </w:r>
            <w:r w:rsidRPr="000C23B7">
              <w:rPr>
                <w:b/>
                <w:i/>
                <w:szCs w:val="22"/>
              </w:rPr>
              <w:t xml:space="preserve">Принятие уполномоченным органом </w:t>
            </w:r>
            <w:r w:rsidRPr="00C53FD9">
              <w:rPr>
                <w:b/>
                <w:i/>
                <w:szCs w:val="22"/>
              </w:rPr>
              <w:t xml:space="preserve">управления Эмитента решения о приобретении </w:t>
            </w:r>
            <w:r w:rsidR="002D0F4D">
              <w:rPr>
                <w:b/>
                <w:i/>
                <w:szCs w:val="22"/>
              </w:rPr>
              <w:t>Биржевых облигаций</w:t>
            </w:r>
            <w:r w:rsidR="002D0F4D" w:rsidRPr="00C53FD9">
              <w:rPr>
                <w:b/>
                <w:i/>
                <w:szCs w:val="22"/>
              </w:rPr>
              <w:t xml:space="preserve"> </w:t>
            </w:r>
            <w:r w:rsidRPr="00C53FD9">
              <w:rPr>
                <w:b/>
                <w:i/>
                <w:szCs w:val="22"/>
              </w:rPr>
              <w:t xml:space="preserve">не требуется, поскольку порядок приобретения </w:t>
            </w:r>
            <w:r w:rsidR="002D0F4D">
              <w:rPr>
                <w:b/>
                <w:i/>
                <w:szCs w:val="22"/>
              </w:rPr>
              <w:t>Биржевых облигаций</w:t>
            </w:r>
            <w:r w:rsidR="002D0F4D" w:rsidRPr="00C53FD9">
              <w:rPr>
                <w:b/>
                <w:i/>
                <w:szCs w:val="22"/>
              </w:rPr>
              <w:t xml:space="preserve"> </w:t>
            </w:r>
            <w:r w:rsidRPr="00C53FD9">
              <w:rPr>
                <w:b/>
                <w:i/>
                <w:szCs w:val="22"/>
              </w:rPr>
              <w:t xml:space="preserve">Эмитентом по требованию их владельца (владельцев) определен в п.10.1 Решения о выпуске </w:t>
            </w:r>
            <w:r w:rsidR="00F354AB" w:rsidRPr="00C53FD9">
              <w:rPr>
                <w:b/>
                <w:i/>
                <w:szCs w:val="22"/>
              </w:rPr>
              <w:t xml:space="preserve">Биржевых облигаций </w:t>
            </w:r>
            <w:r w:rsidRPr="00C53FD9">
              <w:rPr>
                <w:b/>
                <w:i/>
                <w:szCs w:val="22"/>
              </w:rPr>
              <w:t xml:space="preserve">(идентификационный номер </w:t>
            </w:r>
            <w:r w:rsidR="00C067B2" w:rsidRPr="00C067B2">
              <w:rPr>
                <w:b/>
                <w:i/>
                <w:szCs w:val="22"/>
                <w:shd w:val="clear" w:color="auto" w:fill="FFFFFF"/>
              </w:rPr>
              <w:t>выпуска 4B02-0</w:t>
            </w:r>
            <w:r w:rsidR="00D710D0">
              <w:rPr>
                <w:b/>
                <w:i/>
                <w:szCs w:val="22"/>
                <w:shd w:val="clear" w:color="auto" w:fill="FFFFFF"/>
              </w:rPr>
              <w:t>2</w:t>
            </w:r>
            <w:r w:rsidR="00C067B2" w:rsidRPr="00C067B2">
              <w:rPr>
                <w:b/>
                <w:i/>
                <w:szCs w:val="22"/>
                <w:shd w:val="clear" w:color="auto" w:fill="FFFFFF"/>
              </w:rPr>
              <w:t>-00221-A-001P от 2</w:t>
            </w:r>
            <w:r w:rsidR="00D710D0">
              <w:rPr>
                <w:b/>
                <w:i/>
                <w:szCs w:val="22"/>
                <w:shd w:val="clear" w:color="auto" w:fill="FFFFFF"/>
              </w:rPr>
              <w:t>1</w:t>
            </w:r>
            <w:r w:rsidR="00C067B2" w:rsidRPr="00C067B2">
              <w:rPr>
                <w:b/>
                <w:i/>
                <w:szCs w:val="22"/>
                <w:shd w:val="clear" w:color="auto" w:fill="FFFFFF"/>
              </w:rPr>
              <w:t>.</w:t>
            </w:r>
            <w:r w:rsidR="00D710D0">
              <w:rPr>
                <w:b/>
                <w:i/>
                <w:szCs w:val="22"/>
                <w:shd w:val="clear" w:color="auto" w:fill="FFFFFF"/>
              </w:rPr>
              <w:t>03</w:t>
            </w:r>
            <w:r w:rsidR="00C067B2" w:rsidRPr="00C067B2">
              <w:rPr>
                <w:b/>
                <w:i/>
                <w:szCs w:val="22"/>
                <w:shd w:val="clear" w:color="auto" w:fill="FFFFFF"/>
              </w:rPr>
              <w:t>.2019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D710D0" w:rsidRPr="00D710D0">
              <w:rPr>
                <w:b/>
                <w:i/>
                <w:szCs w:val="22"/>
                <w:shd w:val="clear" w:color="auto" w:fill="FFFFFF"/>
                <w:lang w:val="en-US"/>
              </w:rPr>
              <w:t>RU</w:t>
            </w:r>
            <w:r w:rsidR="00D710D0" w:rsidRPr="00D710D0">
              <w:rPr>
                <w:b/>
                <w:i/>
                <w:szCs w:val="22"/>
                <w:shd w:val="clear" w:color="auto" w:fill="FFFFFF"/>
              </w:rPr>
              <w:t>000</w:t>
            </w:r>
            <w:r w:rsidR="00D710D0" w:rsidRPr="00D710D0">
              <w:rPr>
                <w:b/>
                <w:i/>
                <w:szCs w:val="22"/>
                <w:shd w:val="clear" w:color="auto" w:fill="FFFFFF"/>
                <w:lang w:val="en-US"/>
              </w:rPr>
              <w:t>A</w:t>
            </w:r>
            <w:r w:rsidR="00D710D0" w:rsidRPr="00D710D0">
              <w:rPr>
                <w:b/>
                <w:i/>
                <w:szCs w:val="22"/>
                <w:shd w:val="clear" w:color="auto" w:fill="FFFFFF"/>
              </w:rPr>
              <w:t>1007</w:t>
            </w:r>
            <w:r w:rsidR="00D710D0" w:rsidRPr="00D710D0">
              <w:rPr>
                <w:b/>
                <w:i/>
                <w:szCs w:val="22"/>
                <w:shd w:val="clear" w:color="auto" w:fill="FFFFFF"/>
                <w:lang w:val="en-US"/>
              </w:rPr>
              <w:t>H</w:t>
            </w:r>
            <w:r w:rsidR="00D710D0" w:rsidRPr="00D710D0">
              <w:rPr>
                <w:b/>
                <w:i/>
                <w:szCs w:val="22"/>
                <w:shd w:val="clear" w:color="auto" w:fill="FFFFFF"/>
              </w:rPr>
              <w:t>0</w:t>
            </w:r>
            <w:r w:rsidRPr="00C53FD9">
              <w:rPr>
                <w:b/>
                <w:i/>
                <w:szCs w:val="22"/>
              </w:rPr>
              <w:t>) и законодательством Российской Федерации.</w:t>
            </w:r>
            <w:r w:rsidRPr="000C23B7">
              <w:rPr>
                <w:b/>
                <w:i/>
                <w:szCs w:val="22"/>
              </w:rPr>
              <w:t xml:space="preserve"> </w:t>
            </w:r>
          </w:p>
          <w:p w:rsidR="005F7B9E" w:rsidRDefault="005F7B9E" w:rsidP="005412D0"/>
          <w:p w:rsidR="000C23B7" w:rsidRPr="000C23B7" w:rsidRDefault="000C23B7" w:rsidP="005412D0">
            <w:pPr>
              <w:rPr>
                <w:b/>
                <w:i/>
                <w:szCs w:val="22"/>
              </w:rPr>
            </w:pPr>
            <w:r w:rsidRPr="000C23B7">
              <w:t xml:space="preserve">2.5. В случае если событие (действие) может оказать существенное влияние на стоимость или котировки ценных бумаг эмитента - вид, категория (тип), серия (при наличии) и иные идентификационные признаки ценных бумаг эмитента, указанные в решении о выпуске ценных бумаг, а также регистрационный номер выпуска (дополнительного выпуска) ценных бумаг и дата его регистрации: </w:t>
            </w:r>
            <w:r w:rsidR="00C067B2" w:rsidRPr="00C067B2">
              <w:rPr>
                <w:b/>
                <w:i/>
                <w:szCs w:val="22"/>
                <w:shd w:val="clear" w:color="auto" w:fill="FFFFFF"/>
              </w:rPr>
              <w:t xml:space="preserve">биржевые облигации </w:t>
            </w:r>
            <w:r w:rsidR="00C067B2" w:rsidRPr="00C067B2">
              <w:rPr>
                <w:b/>
                <w:i/>
                <w:szCs w:val="22"/>
                <w:shd w:val="clear" w:color="auto" w:fill="FFFFFF"/>
              </w:rPr>
              <w:lastRenderedPageBreak/>
              <w:t>документарные процентные неконвертируемые на предъявителя с обязательным централизованным хранением серии 001P-0</w:t>
            </w:r>
            <w:r w:rsidR="00D710D0">
              <w:rPr>
                <w:b/>
                <w:i/>
                <w:szCs w:val="22"/>
                <w:shd w:val="clear" w:color="auto" w:fill="FFFFFF"/>
              </w:rPr>
              <w:t>2</w:t>
            </w:r>
            <w:r w:rsidR="00C067B2" w:rsidRPr="00C067B2">
              <w:rPr>
                <w:b/>
                <w:i/>
                <w:szCs w:val="22"/>
                <w:shd w:val="clear" w:color="auto" w:fill="FFFFFF"/>
              </w:rPr>
              <w:t xml:space="preserve"> (идентификационный номер выпуска 4B02-0</w:t>
            </w:r>
            <w:r w:rsidR="00D710D0">
              <w:rPr>
                <w:b/>
                <w:i/>
                <w:szCs w:val="22"/>
                <w:shd w:val="clear" w:color="auto" w:fill="FFFFFF"/>
              </w:rPr>
              <w:t>2</w:t>
            </w:r>
            <w:r w:rsidR="00C067B2" w:rsidRPr="00C067B2">
              <w:rPr>
                <w:b/>
                <w:i/>
                <w:szCs w:val="22"/>
                <w:shd w:val="clear" w:color="auto" w:fill="FFFFFF"/>
              </w:rPr>
              <w:t>-00221-A-001P от 2</w:t>
            </w:r>
            <w:r w:rsidR="00D710D0">
              <w:rPr>
                <w:b/>
                <w:i/>
                <w:szCs w:val="22"/>
                <w:shd w:val="clear" w:color="auto" w:fill="FFFFFF"/>
              </w:rPr>
              <w:t>1</w:t>
            </w:r>
            <w:r w:rsidR="00C067B2" w:rsidRPr="00C067B2">
              <w:rPr>
                <w:b/>
                <w:i/>
                <w:szCs w:val="22"/>
                <w:shd w:val="clear" w:color="auto" w:fill="FFFFFF"/>
              </w:rPr>
              <w:t>.</w:t>
            </w:r>
            <w:r w:rsidR="00D710D0">
              <w:rPr>
                <w:b/>
                <w:i/>
                <w:szCs w:val="22"/>
                <w:shd w:val="clear" w:color="auto" w:fill="FFFFFF"/>
              </w:rPr>
              <w:t>03</w:t>
            </w:r>
            <w:r w:rsidR="00C067B2" w:rsidRPr="00C067B2">
              <w:rPr>
                <w:b/>
                <w:i/>
                <w:szCs w:val="22"/>
                <w:shd w:val="clear" w:color="auto" w:fill="FFFFFF"/>
              </w:rPr>
              <w:t>.2019</w:t>
            </w:r>
            <w:r w:rsidR="00C067B2">
              <w:rPr>
                <w:b/>
                <w:i/>
                <w:szCs w:val="22"/>
                <w:shd w:val="clear" w:color="auto" w:fill="FFFFFF"/>
              </w:rPr>
              <w:t xml:space="preserve">, </w:t>
            </w:r>
            <w:r w:rsidR="00C067B2">
              <w:rPr>
                <w:b/>
                <w:i/>
                <w:szCs w:val="22"/>
                <w:shd w:val="clear" w:color="auto" w:fill="FFFFFF"/>
                <w:lang w:val="en-US"/>
              </w:rPr>
              <w:t>ISIN</w:t>
            </w:r>
            <w:r w:rsidR="00C067B2">
              <w:t xml:space="preserve"> </w:t>
            </w:r>
            <w:r w:rsidR="00D710D0" w:rsidRPr="00D710D0">
              <w:rPr>
                <w:b/>
                <w:i/>
                <w:szCs w:val="22"/>
                <w:shd w:val="clear" w:color="auto" w:fill="FFFFFF"/>
                <w:lang w:val="en-US"/>
              </w:rPr>
              <w:t>RU</w:t>
            </w:r>
            <w:r w:rsidR="00D710D0" w:rsidRPr="00D710D0">
              <w:rPr>
                <w:b/>
                <w:i/>
                <w:szCs w:val="22"/>
                <w:shd w:val="clear" w:color="auto" w:fill="FFFFFF"/>
              </w:rPr>
              <w:t>000</w:t>
            </w:r>
            <w:r w:rsidR="00D710D0" w:rsidRPr="00D710D0">
              <w:rPr>
                <w:b/>
                <w:i/>
                <w:szCs w:val="22"/>
                <w:shd w:val="clear" w:color="auto" w:fill="FFFFFF"/>
                <w:lang w:val="en-US"/>
              </w:rPr>
              <w:t>A</w:t>
            </w:r>
            <w:r w:rsidR="00D710D0" w:rsidRPr="00D710D0">
              <w:rPr>
                <w:b/>
                <w:i/>
                <w:szCs w:val="22"/>
                <w:shd w:val="clear" w:color="auto" w:fill="FFFFFF"/>
              </w:rPr>
              <w:t>1007</w:t>
            </w:r>
            <w:r w:rsidR="00D710D0" w:rsidRPr="00D710D0">
              <w:rPr>
                <w:b/>
                <w:i/>
                <w:szCs w:val="22"/>
                <w:shd w:val="clear" w:color="auto" w:fill="FFFFFF"/>
                <w:lang w:val="en-US"/>
              </w:rPr>
              <w:t>H</w:t>
            </w:r>
            <w:r w:rsidR="00D710D0" w:rsidRPr="00D710D0">
              <w:rPr>
                <w:b/>
                <w:i/>
                <w:szCs w:val="22"/>
                <w:shd w:val="clear" w:color="auto" w:fill="FFFFFF"/>
              </w:rPr>
              <w:t>0</w:t>
            </w:r>
            <w:r w:rsidR="00C067B2" w:rsidRPr="00C067B2">
              <w:rPr>
                <w:b/>
                <w:i/>
                <w:szCs w:val="22"/>
                <w:shd w:val="clear" w:color="auto" w:fill="FFFFFF"/>
              </w:rPr>
              <w:t>)</w:t>
            </w:r>
            <w:r w:rsidR="00C067B2">
              <w:rPr>
                <w:b/>
                <w:i/>
                <w:szCs w:val="22"/>
                <w:shd w:val="clear" w:color="auto" w:fill="FFFFFF"/>
              </w:rPr>
              <w:t>.</w:t>
            </w:r>
          </w:p>
          <w:p w:rsidR="005F7B9E" w:rsidRDefault="005F7B9E" w:rsidP="00A133C7"/>
          <w:p w:rsidR="005412D0" w:rsidRPr="00AD4BEB" w:rsidRDefault="000C23B7" w:rsidP="00A133C7">
            <w:pPr>
              <w:rPr>
                <w:b/>
                <w:i/>
                <w:szCs w:val="22"/>
              </w:rPr>
            </w:pPr>
            <w:r w:rsidRPr="000C23B7">
              <w:t xml:space="preserve">2.6.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C067B2">
              <w:rPr>
                <w:b/>
                <w:i/>
                <w:szCs w:val="22"/>
              </w:rPr>
              <w:t>2</w:t>
            </w:r>
            <w:r w:rsidR="00D710D0">
              <w:rPr>
                <w:b/>
                <w:i/>
                <w:szCs w:val="22"/>
              </w:rPr>
              <w:t>8</w:t>
            </w:r>
            <w:r w:rsidR="00C067B2">
              <w:rPr>
                <w:b/>
                <w:i/>
                <w:szCs w:val="22"/>
              </w:rPr>
              <w:t>.</w:t>
            </w:r>
            <w:r w:rsidR="00D710D0">
              <w:rPr>
                <w:b/>
                <w:i/>
                <w:szCs w:val="22"/>
              </w:rPr>
              <w:t>03</w:t>
            </w:r>
            <w:r w:rsidRPr="00343916">
              <w:rPr>
                <w:b/>
                <w:i/>
                <w:szCs w:val="22"/>
              </w:rPr>
              <w:t>.202</w:t>
            </w:r>
            <w:r w:rsidR="00D710D0">
              <w:rPr>
                <w:b/>
                <w:i/>
                <w:szCs w:val="22"/>
              </w:rPr>
              <w:t>3</w:t>
            </w:r>
            <w:r w:rsidRPr="000C23B7">
              <w:rPr>
                <w:b/>
                <w:i/>
                <w:szCs w:val="22"/>
              </w:rPr>
              <w:t>.</w:t>
            </w:r>
          </w:p>
        </w:tc>
      </w:tr>
    </w:tbl>
    <w:p w:rsidR="009A251E" w:rsidRPr="006E773F" w:rsidRDefault="009A251E" w:rsidP="009A25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6"/>
        <w:gridCol w:w="487"/>
        <w:gridCol w:w="277"/>
        <w:gridCol w:w="1244"/>
        <w:gridCol w:w="391"/>
        <w:gridCol w:w="290"/>
        <w:gridCol w:w="1313"/>
        <w:gridCol w:w="1468"/>
        <w:gridCol w:w="283"/>
        <w:gridCol w:w="3346"/>
      </w:tblGrid>
      <w:tr w:rsidR="006E773F" w:rsidRPr="006E773F" w:rsidTr="009A251E">
        <w:trPr>
          <w:cantSplit/>
        </w:trPr>
        <w:tc>
          <w:tcPr>
            <w:tcW w:w="5000" w:type="pct"/>
            <w:gridSpan w:val="10"/>
            <w:tcBorders>
              <w:top w:val="single" w:sz="4" w:space="0" w:color="auto"/>
              <w:left w:val="single" w:sz="4" w:space="0" w:color="auto"/>
              <w:bottom w:val="single" w:sz="4" w:space="0" w:color="auto"/>
              <w:right w:val="single" w:sz="4" w:space="0" w:color="auto"/>
            </w:tcBorders>
            <w:hideMark/>
          </w:tcPr>
          <w:p w:rsidR="009A251E" w:rsidRPr="006E773F" w:rsidRDefault="009A251E">
            <w:pPr>
              <w:widowControl w:val="0"/>
              <w:jc w:val="center"/>
              <w:rPr>
                <w:szCs w:val="22"/>
              </w:rPr>
            </w:pPr>
            <w:r w:rsidRPr="006E773F">
              <w:t>3. Подпись</w:t>
            </w:r>
          </w:p>
        </w:tc>
      </w:tr>
      <w:tr w:rsidR="006E773F" w:rsidRPr="006E773F" w:rsidTr="00A133C7">
        <w:trPr>
          <w:cantSplit/>
        </w:trPr>
        <w:tc>
          <w:tcPr>
            <w:tcW w:w="2500" w:type="pct"/>
            <w:gridSpan w:val="7"/>
            <w:tcBorders>
              <w:top w:val="single" w:sz="4" w:space="0" w:color="auto"/>
              <w:left w:val="single" w:sz="4" w:space="0" w:color="auto"/>
              <w:bottom w:val="nil"/>
              <w:right w:val="nil"/>
            </w:tcBorders>
            <w:vAlign w:val="bottom"/>
            <w:hideMark/>
          </w:tcPr>
          <w:p w:rsidR="00C067B2" w:rsidRPr="00C067B2" w:rsidRDefault="00EC4E39" w:rsidP="00C067B2">
            <w:pPr>
              <w:rPr>
                <w:szCs w:val="22"/>
                <w:shd w:val="clear" w:color="auto" w:fill="FFFFFF"/>
              </w:rPr>
            </w:pPr>
            <w:r w:rsidRPr="00A133C7">
              <w:rPr>
                <w:szCs w:val="22"/>
              </w:rPr>
              <w:t>3.1</w:t>
            </w:r>
            <w:r w:rsidR="008877F5" w:rsidRPr="00A133C7">
              <w:rPr>
                <w:szCs w:val="22"/>
              </w:rPr>
              <w:t xml:space="preserve">. </w:t>
            </w:r>
            <w:r w:rsidR="00C067B2" w:rsidRPr="00C067B2">
              <w:rPr>
                <w:szCs w:val="22"/>
                <w:shd w:val="clear" w:color="auto" w:fill="FFFFFF"/>
              </w:rPr>
              <w:t xml:space="preserve">Заместитель генерального директора по </w:t>
            </w:r>
          </w:p>
          <w:p w:rsidR="00C067B2" w:rsidRPr="00C067B2" w:rsidRDefault="00C067B2" w:rsidP="00C067B2">
            <w:pPr>
              <w:rPr>
                <w:szCs w:val="22"/>
                <w:shd w:val="clear" w:color="auto" w:fill="FFFFFF"/>
              </w:rPr>
            </w:pPr>
            <w:r w:rsidRPr="00C067B2">
              <w:rPr>
                <w:szCs w:val="22"/>
                <w:shd w:val="clear" w:color="auto" w:fill="FFFFFF"/>
              </w:rPr>
              <w:t>экономике и финансам ПАО «НГК «</w:t>
            </w:r>
            <w:proofErr w:type="spellStart"/>
            <w:r w:rsidRPr="00C067B2">
              <w:rPr>
                <w:szCs w:val="22"/>
                <w:shd w:val="clear" w:color="auto" w:fill="FFFFFF"/>
              </w:rPr>
              <w:t>Славнефть</w:t>
            </w:r>
            <w:proofErr w:type="spellEnd"/>
            <w:r w:rsidRPr="00C067B2">
              <w:rPr>
                <w:szCs w:val="22"/>
                <w:shd w:val="clear" w:color="auto" w:fill="FFFFFF"/>
              </w:rPr>
              <w:t>»</w:t>
            </w:r>
          </w:p>
          <w:p w:rsidR="009A251E" w:rsidRPr="00A133C7" w:rsidRDefault="00C067B2" w:rsidP="00C067B2">
            <w:pPr>
              <w:rPr>
                <w:szCs w:val="22"/>
              </w:rPr>
            </w:pPr>
            <w:r w:rsidRPr="00C067B2">
              <w:rPr>
                <w:szCs w:val="22"/>
                <w:shd w:val="clear" w:color="auto" w:fill="FFFFFF"/>
              </w:rPr>
              <w:t xml:space="preserve">(Доверенность от </w:t>
            </w:r>
            <w:r w:rsidR="00D710D0">
              <w:rPr>
                <w:szCs w:val="22"/>
                <w:shd w:val="clear" w:color="auto" w:fill="FFFFFF"/>
              </w:rPr>
              <w:t>19</w:t>
            </w:r>
            <w:r w:rsidRPr="00C067B2">
              <w:rPr>
                <w:szCs w:val="22"/>
                <w:shd w:val="clear" w:color="auto" w:fill="FFFFFF"/>
              </w:rPr>
              <w:t>.</w:t>
            </w:r>
            <w:r w:rsidR="00D710D0">
              <w:rPr>
                <w:szCs w:val="22"/>
                <w:shd w:val="clear" w:color="auto" w:fill="FFFFFF"/>
              </w:rPr>
              <w:t>12</w:t>
            </w:r>
            <w:r w:rsidRPr="00C067B2">
              <w:rPr>
                <w:szCs w:val="22"/>
                <w:shd w:val="clear" w:color="auto" w:fill="FFFFFF"/>
              </w:rPr>
              <w:t>.2022 № АТ-</w:t>
            </w:r>
            <w:r w:rsidR="00D710D0">
              <w:rPr>
                <w:szCs w:val="22"/>
                <w:shd w:val="clear" w:color="auto" w:fill="FFFFFF"/>
              </w:rPr>
              <w:t>1414</w:t>
            </w:r>
            <w:r w:rsidRPr="00C067B2">
              <w:rPr>
                <w:szCs w:val="22"/>
                <w:shd w:val="clear" w:color="auto" w:fill="FFFFFF"/>
              </w:rPr>
              <w:t xml:space="preserve">)                       </w:t>
            </w:r>
            <w:r>
              <w:rPr>
                <w:szCs w:val="22"/>
                <w:shd w:val="clear" w:color="auto" w:fill="FFFFFF"/>
              </w:rPr>
              <w:t xml:space="preserve">            </w:t>
            </w:r>
            <w:r w:rsidRPr="00C067B2">
              <w:rPr>
                <w:szCs w:val="22"/>
                <w:shd w:val="clear" w:color="auto" w:fill="FFFFFF"/>
              </w:rPr>
              <w:t xml:space="preserve">                                               </w:t>
            </w:r>
          </w:p>
        </w:tc>
        <w:tc>
          <w:tcPr>
            <w:tcW w:w="720" w:type="pct"/>
            <w:tcBorders>
              <w:top w:val="single" w:sz="4" w:space="0" w:color="auto"/>
              <w:left w:val="nil"/>
              <w:bottom w:val="single" w:sz="4" w:space="0" w:color="auto"/>
              <w:right w:val="nil"/>
            </w:tcBorders>
            <w:vAlign w:val="bottom"/>
          </w:tcPr>
          <w:p w:rsidR="009A251E" w:rsidRPr="007E3AB2" w:rsidRDefault="009A251E">
            <w:pPr>
              <w:widowControl w:val="0"/>
              <w:rPr>
                <w:szCs w:val="22"/>
                <w:lang w:val="en-US"/>
              </w:rPr>
            </w:pPr>
          </w:p>
        </w:tc>
        <w:tc>
          <w:tcPr>
            <w:tcW w:w="139" w:type="pct"/>
            <w:tcBorders>
              <w:top w:val="single" w:sz="4" w:space="0" w:color="auto"/>
              <w:left w:val="nil"/>
              <w:bottom w:val="nil"/>
              <w:right w:val="nil"/>
            </w:tcBorders>
            <w:vAlign w:val="bottom"/>
          </w:tcPr>
          <w:p w:rsidR="009A251E" w:rsidRPr="007E3AB2" w:rsidRDefault="009A251E">
            <w:pPr>
              <w:widowControl w:val="0"/>
              <w:rPr>
                <w:szCs w:val="22"/>
                <w:highlight w:val="yellow"/>
                <w:lang w:val="en-US"/>
              </w:rPr>
            </w:pPr>
          </w:p>
        </w:tc>
        <w:tc>
          <w:tcPr>
            <w:tcW w:w="1641" w:type="pct"/>
            <w:tcBorders>
              <w:top w:val="single" w:sz="4" w:space="0" w:color="auto"/>
              <w:left w:val="nil"/>
              <w:bottom w:val="nil"/>
              <w:right w:val="single" w:sz="4" w:space="0" w:color="auto"/>
            </w:tcBorders>
            <w:vAlign w:val="bottom"/>
            <w:hideMark/>
          </w:tcPr>
          <w:p w:rsidR="009A251E" w:rsidRPr="00472505" w:rsidRDefault="00C067B2" w:rsidP="001B7D65">
            <w:pPr>
              <w:widowControl w:val="0"/>
              <w:rPr>
                <w:szCs w:val="22"/>
                <w:highlight w:val="yellow"/>
              </w:rPr>
            </w:pPr>
            <w:r>
              <w:t>А.Ю. Фёдоров</w:t>
            </w:r>
          </w:p>
        </w:tc>
      </w:tr>
      <w:tr w:rsidR="006E773F" w:rsidRPr="006E773F" w:rsidTr="00A133C7">
        <w:trPr>
          <w:cantSplit/>
          <w:trHeight w:hRule="exact" w:val="280"/>
        </w:trPr>
        <w:tc>
          <w:tcPr>
            <w:tcW w:w="2500" w:type="pct"/>
            <w:gridSpan w:val="7"/>
            <w:tcBorders>
              <w:top w:val="nil"/>
              <w:left w:val="single" w:sz="4" w:space="0" w:color="auto"/>
              <w:bottom w:val="nil"/>
              <w:right w:val="nil"/>
            </w:tcBorders>
          </w:tcPr>
          <w:p w:rsidR="009A251E" w:rsidRPr="00A133C7" w:rsidRDefault="009A251E">
            <w:pPr>
              <w:widowControl w:val="0"/>
              <w:rPr>
                <w:szCs w:val="22"/>
              </w:rPr>
            </w:pPr>
          </w:p>
        </w:tc>
        <w:tc>
          <w:tcPr>
            <w:tcW w:w="720" w:type="pct"/>
            <w:tcBorders>
              <w:top w:val="nil"/>
              <w:left w:val="nil"/>
              <w:bottom w:val="nil"/>
              <w:right w:val="nil"/>
            </w:tcBorders>
            <w:hideMark/>
          </w:tcPr>
          <w:p w:rsidR="009A251E" w:rsidRPr="00A133C7" w:rsidRDefault="009A251E">
            <w:pPr>
              <w:widowControl w:val="0"/>
              <w:rPr>
                <w:szCs w:val="22"/>
              </w:rPr>
            </w:pPr>
            <w:r w:rsidRPr="00A133C7">
              <w:rPr>
                <w:szCs w:val="22"/>
              </w:rPr>
              <w:t>(подпись)</w:t>
            </w:r>
          </w:p>
        </w:tc>
        <w:tc>
          <w:tcPr>
            <w:tcW w:w="139" w:type="pct"/>
            <w:tcBorders>
              <w:top w:val="nil"/>
              <w:left w:val="nil"/>
              <w:bottom w:val="nil"/>
              <w:right w:val="nil"/>
            </w:tcBorders>
          </w:tcPr>
          <w:p w:rsidR="009A251E" w:rsidRPr="006E773F" w:rsidRDefault="009A251E">
            <w:pPr>
              <w:widowControl w:val="0"/>
              <w:rPr>
                <w:szCs w:val="22"/>
              </w:rPr>
            </w:pPr>
          </w:p>
        </w:tc>
        <w:tc>
          <w:tcPr>
            <w:tcW w:w="1641" w:type="pct"/>
            <w:tcBorders>
              <w:top w:val="nil"/>
              <w:left w:val="nil"/>
              <w:bottom w:val="nil"/>
              <w:right w:val="single" w:sz="4" w:space="0" w:color="auto"/>
            </w:tcBorders>
          </w:tcPr>
          <w:p w:rsidR="009A251E" w:rsidRPr="006E773F" w:rsidRDefault="009A251E">
            <w:pPr>
              <w:widowControl w:val="0"/>
              <w:rPr>
                <w:szCs w:val="22"/>
              </w:rPr>
            </w:pPr>
          </w:p>
        </w:tc>
      </w:tr>
      <w:tr w:rsidR="006E773F" w:rsidRPr="006E773F" w:rsidTr="00A133C7">
        <w:trPr>
          <w:cantSplit/>
        </w:trPr>
        <w:tc>
          <w:tcPr>
            <w:tcW w:w="537" w:type="pct"/>
            <w:tcBorders>
              <w:top w:val="nil"/>
              <w:left w:val="single" w:sz="4" w:space="0" w:color="auto"/>
              <w:bottom w:val="nil"/>
              <w:right w:val="nil"/>
            </w:tcBorders>
            <w:vAlign w:val="bottom"/>
            <w:hideMark/>
          </w:tcPr>
          <w:p w:rsidR="009A251E" w:rsidRPr="00343916" w:rsidRDefault="009A251E" w:rsidP="00DA4B7C">
            <w:pPr>
              <w:widowControl w:val="0"/>
              <w:rPr>
                <w:szCs w:val="22"/>
              </w:rPr>
            </w:pPr>
            <w:r w:rsidRPr="00343916">
              <w:rPr>
                <w:szCs w:val="22"/>
              </w:rPr>
              <w:t xml:space="preserve">3.2. Дата </w:t>
            </w:r>
            <w:r w:rsidR="00DA4B7C" w:rsidRPr="00343916">
              <w:rPr>
                <w:szCs w:val="22"/>
              </w:rPr>
              <w:t>«</w:t>
            </w:r>
          </w:p>
        </w:tc>
        <w:tc>
          <w:tcPr>
            <w:tcW w:w="239" w:type="pct"/>
            <w:tcBorders>
              <w:top w:val="nil"/>
              <w:left w:val="nil"/>
              <w:bottom w:val="single" w:sz="4" w:space="0" w:color="auto"/>
              <w:right w:val="nil"/>
            </w:tcBorders>
            <w:vAlign w:val="bottom"/>
          </w:tcPr>
          <w:p w:rsidR="009A251E" w:rsidRPr="00343916" w:rsidRDefault="00AD4BEB" w:rsidP="00A133C7">
            <w:pPr>
              <w:widowControl w:val="0"/>
              <w:rPr>
                <w:szCs w:val="22"/>
              </w:rPr>
            </w:pPr>
            <w:r>
              <w:rPr>
                <w:szCs w:val="22"/>
              </w:rPr>
              <w:t>2</w:t>
            </w:r>
            <w:r w:rsidR="00D710D0">
              <w:rPr>
                <w:szCs w:val="22"/>
              </w:rPr>
              <w:t>8</w:t>
            </w:r>
          </w:p>
        </w:tc>
        <w:tc>
          <w:tcPr>
            <w:tcW w:w="136" w:type="pct"/>
            <w:tcBorders>
              <w:top w:val="nil"/>
              <w:left w:val="nil"/>
              <w:bottom w:val="nil"/>
              <w:right w:val="nil"/>
            </w:tcBorders>
            <w:vAlign w:val="bottom"/>
            <w:hideMark/>
          </w:tcPr>
          <w:p w:rsidR="009A251E" w:rsidRPr="00343916" w:rsidRDefault="00DA4B7C" w:rsidP="00DA4B7C">
            <w:pPr>
              <w:widowControl w:val="0"/>
              <w:rPr>
                <w:szCs w:val="22"/>
              </w:rPr>
            </w:pPr>
            <w:r w:rsidRPr="00343916">
              <w:rPr>
                <w:szCs w:val="22"/>
              </w:rPr>
              <w:t>»</w:t>
            </w:r>
          </w:p>
        </w:tc>
        <w:tc>
          <w:tcPr>
            <w:tcW w:w="610" w:type="pct"/>
            <w:tcBorders>
              <w:top w:val="nil"/>
              <w:left w:val="nil"/>
              <w:bottom w:val="single" w:sz="4" w:space="0" w:color="auto"/>
              <w:right w:val="nil"/>
            </w:tcBorders>
            <w:vAlign w:val="bottom"/>
          </w:tcPr>
          <w:p w:rsidR="009A251E" w:rsidRPr="00343916" w:rsidRDefault="00D710D0" w:rsidP="00A133C7">
            <w:pPr>
              <w:widowControl w:val="0"/>
              <w:jc w:val="center"/>
              <w:rPr>
                <w:szCs w:val="22"/>
              </w:rPr>
            </w:pPr>
            <w:r>
              <w:rPr>
                <w:szCs w:val="22"/>
              </w:rPr>
              <w:t>марта</w:t>
            </w:r>
          </w:p>
        </w:tc>
        <w:tc>
          <w:tcPr>
            <w:tcW w:w="192"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20</w:t>
            </w:r>
          </w:p>
        </w:tc>
        <w:tc>
          <w:tcPr>
            <w:tcW w:w="142" w:type="pct"/>
            <w:tcBorders>
              <w:top w:val="nil"/>
              <w:left w:val="nil"/>
              <w:bottom w:val="single" w:sz="4" w:space="0" w:color="auto"/>
              <w:right w:val="nil"/>
            </w:tcBorders>
            <w:vAlign w:val="bottom"/>
            <w:hideMark/>
          </w:tcPr>
          <w:p w:rsidR="009A251E" w:rsidRPr="00A133C7" w:rsidRDefault="006956BA" w:rsidP="005640C8">
            <w:pPr>
              <w:widowControl w:val="0"/>
              <w:rPr>
                <w:szCs w:val="22"/>
              </w:rPr>
            </w:pPr>
            <w:r w:rsidRPr="00A133C7">
              <w:rPr>
                <w:szCs w:val="22"/>
              </w:rPr>
              <w:t>2</w:t>
            </w:r>
            <w:r w:rsidR="00D710D0">
              <w:rPr>
                <w:szCs w:val="22"/>
              </w:rPr>
              <w:t>3</w:t>
            </w:r>
          </w:p>
        </w:tc>
        <w:tc>
          <w:tcPr>
            <w:tcW w:w="644"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г.</w:t>
            </w:r>
          </w:p>
        </w:tc>
        <w:tc>
          <w:tcPr>
            <w:tcW w:w="720" w:type="pct"/>
            <w:tcBorders>
              <w:top w:val="nil"/>
              <w:left w:val="nil"/>
              <w:bottom w:val="nil"/>
              <w:right w:val="nil"/>
            </w:tcBorders>
            <w:vAlign w:val="bottom"/>
            <w:hideMark/>
          </w:tcPr>
          <w:p w:rsidR="009A251E" w:rsidRPr="00A133C7" w:rsidRDefault="009A251E">
            <w:pPr>
              <w:widowControl w:val="0"/>
              <w:rPr>
                <w:szCs w:val="22"/>
              </w:rPr>
            </w:pPr>
            <w:r w:rsidRPr="00A133C7">
              <w:rPr>
                <w:szCs w:val="22"/>
              </w:rPr>
              <w:t>М.П.</w:t>
            </w:r>
          </w:p>
        </w:tc>
        <w:tc>
          <w:tcPr>
            <w:tcW w:w="1780" w:type="pct"/>
            <w:gridSpan w:val="2"/>
            <w:tcBorders>
              <w:top w:val="nil"/>
              <w:left w:val="nil"/>
              <w:bottom w:val="nil"/>
              <w:right w:val="single" w:sz="4" w:space="0" w:color="auto"/>
            </w:tcBorders>
            <w:vAlign w:val="bottom"/>
          </w:tcPr>
          <w:p w:rsidR="009A251E" w:rsidRPr="006E773F" w:rsidRDefault="009A251E">
            <w:pPr>
              <w:widowControl w:val="0"/>
              <w:rPr>
                <w:szCs w:val="22"/>
              </w:rPr>
            </w:pPr>
          </w:p>
        </w:tc>
      </w:tr>
      <w:tr w:rsidR="009A251E" w:rsidRPr="006E773F" w:rsidTr="00A133C7">
        <w:trPr>
          <w:cantSplit/>
        </w:trPr>
        <w:tc>
          <w:tcPr>
            <w:tcW w:w="2500" w:type="pct"/>
            <w:gridSpan w:val="7"/>
            <w:tcBorders>
              <w:top w:val="nil"/>
              <w:left w:val="single" w:sz="4" w:space="0" w:color="auto"/>
              <w:bottom w:val="single" w:sz="4" w:space="0" w:color="auto"/>
              <w:right w:val="nil"/>
            </w:tcBorders>
          </w:tcPr>
          <w:p w:rsidR="009A251E" w:rsidRPr="006E773F" w:rsidRDefault="009A251E">
            <w:pPr>
              <w:widowControl w:val="0"/>
              <w:rPr>
                <w:szCs w:val="22"/>
              </w:rPr>
            </w:pPr>
          </w:p>
        </w:tc>
        <w:tc>
          <w:tcPr>
            <w:tcW w:w="720" w:type="pct"/>
            <w:tcBorders>
              <w:top w:val="nil"/>
              <w:left w:val="nil"/>
              <w:bottom w:val="single" w:sz="4" w:space="0" w:color="auto"/>
              <w:right w:val="nil"/>
            </w:tcBorders>
          </w:tcPr>
          <w:p w:rsidR="009A251E" w:rsidRPr="006E773F" w:rsidRDefault="009A251E">
            <w:pPr>
              <w:widowControl w:val="0"/>
              <w:rPr>
                <w:szCs w:val="22"/>
              </w:rPr>
            </w:pPr>
          </w:p>
        </w:tc>
        <w:tc>
          <w:tcPr>
            <w:tcW w:w="1780" w:type="pct"/>
            <w:gridSpan w:val="2"/>
            <w:tcBorders>
              <w:top w:val="nil"/>
              <w:left w:val="nil"/>
              <w:bottom w:val="single" w:sz="4" w:space="0" w:color="auto"/>
              <w:right w:val="single" w:sz="4" w:space="0" w:color="auto"/>
            </w:tcBorders>
          </w:tcPr>
          <w:p w:rsidR="009A251E" w:rsidRPr="006E773F" w:rsidRDefault="009A251E">
            <w:pPr>
              <w:widowControl w:val="0"/>
              <w:rPr>
                <w:szCs w:val="22"/>
              </w:rPr>
            </w:pPr>
          </w:p>
        </w:tc>
      </w:tr>
    </w:tbl>
    <w:p w:rsidR="00A656A3" w:rsidRPr="006E773F" w:rsidRDefault="00A656A3" w:rsidP="009A251E">
      <w:pPr>
        <w:rPr>
          <w:szCs w:val="22"/>
        </w:rPr>
      </w:pPr>
    </w:p>
    <w:sectPr w:rsidR="00A656A3" w:rsidRPr="006E773F" w:rsidSect="00D53D91">
      <w:headerReference w:type="default" r:id="rId10"/>
      <w:pgSz w:w="11906" w:h="16838"/>
      <w:pgMar w:top="568" w:right="567" w:bottom="426"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3B7" w:rsidRDefault="000C23B7">
      <w:r>
        <w:separator/>
      </w:r>
    </w:p>
  </w:endnote>
  <w:endnote w:type="continuationSeparator" w:id="0">
    <w:p w:rsidR="000C23B7" w:rsidRDefault="000C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3B7" w:rsidRDefault="000C23B7">
      <w:r>
        <w:separator/>
      </w:r>
    </w:p>
  </w:footnote>
  <w:footnote w:type="continuationSeparator" w:id="0">
    <w:p w:rsidR="000C23B7" w:rsidRDefault="000C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B7" w:rsidRDefault="000C23B7">
    <w:pPr>
      <w:pStyle w:val="a5"/>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24EF"/>
    <w:multiLevelType w:val="hybridMultilevel"/>
    <w:tmpl w:val="9DC41104"/>
    <w:lvl w:ilvl="0" w:tplc="885EF73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589A4537"/>
    <w:multiLevelType w:val="hybridMultilevel"/>
    <w:tmpl w:val="463CE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8A"/>
    <w:rsid w:val="00003155"/>
    <w:rsid w:val="0000614C"/>
    <w:rsid w:val="000062EE"/>
    <w:rsid w:val="00011140"/>
    <w:rsid w:val="00011D54"/>
    <w:rsid w:val="000152A4"/>
    <w:rsid w:val="0002031E"/>
    <w:rsid w:val="0002217B"/>
    <w:rsid w:val="00024E78"/>
    <w:rsid w:val="00025867"/>
    <w:rsid w:val="00025A99"/>
    <w:rsid w:val="00027CF0"/>
    <w:rsid w:val="00027D8F"/>
    <w:rsid w:val="000318E2"/>
    <w:rsid w:val="00033D3C"/>
    <w:rsid w:val="0003415A"/>
    <w:rsid w:val="00036453"/>
    <w:rsid w:val="0003781A"/>
    <w:rsid w:val="0004075F"/>
    <w:rsid w:val="00041097"/>
    <w:rsid w:val="00055450"/>
    <w:rsid w:val="00056412"/>
    <w:rsid w:val="000638E3"/>
    <w:rsid w:val="000648BC"/>
    <w:rsid w:val="00071345"/>
    <w:rsid w:val="0007224D"/>
    <w:rsid w:val="00073106"/>
    <w:rsid w:val="000747A9"/>
    <w:rsid w:val="00083627"/>
    <w:rsid w:val="00083951"/>
    <w:rsid w:val="00083DCD"/>
    <w:rsid w:val="000840A7"/>
    <w:rsid w:val="000844D0"/>
    <w:rsid w:val="000871C5"/>
    <w:rsid w:val="00091998"/>
    <w:rsid w:val="00092E6C"/>
    <w:rsid w:val="00093230"/>
    <w:rsid w:val="000939C3"/>
    <w:rsid w:val="00096CD1"/>
    <w:rsid w:val="000A1414"/>
    <w:rsid w:val="000A2EC8"/>
    <w:rsid w:val="000A6DAB"/>
    <w:rsid w:val="000B1D74"/>
    <w:rsid w:val="000B53EA"/>
    <w:rsid w:val="000C1308"/>
    <w:rsid w:val="000C23B7"/>
    <w:rsid w:val="000C26A5"/>
    <w:rsid w:val="000C76A4"/>
    <w:rsid w:val="000D3D5D"/>
    <w:rsid w:val="000D62C7"/>
    <w:rsid w:val="000E3206"/>
    <w:rsid w:val="000E6760"/>
    <w:rsid w:val="000E69F0"/>
    <w:rsid w:val="000F4D10"/>
    <w:rsid w:val="000F4E15"/>
    <w:rsid w:val="000F580B"/>
    <w:rsid w:val="000F7D91"/>
    <w:rsid w:val="00100309"/>
    <w:rsid w:val="001003BC"/>
    <w:rsid w:val="00100666"/>
    <w:rsid w:val="00100DF1"/>
    <w:rsid w:val="00103C05"/>
    <w:rsid w:val="001133E8"/>
    <w:rsid w:val="001206DD"/>
    <w:rsid w:val="001246FE"/>
    <w:rsid w:val="0012791B"/>
    <w:rsid w:val="001305C8"/>
    <w:rsid w:val="00132872"/>
    <w:rsid w:val="0013455A"/>
    <w:rsid w:val="00145169"/>
    <w:rsid w:val="0014590E"/>
    <w:rsid w:val="0014673A"/>
    <w:rsid w:val="00150FFD"/>
    <w:rsid w:val="00153BBD"/>
    <w:rsid w:val="00153D2A"/>
    <w:rsid w:val="001542A0"/>
    <w:rsid w:val="00161302"/>
    <w:rsid w:val="00165C73"/>
    <w:rsid w:val="00165D49"/>
    <w:rsid w:val="00173162"/>
    <w:rsid w:val="001733CA"/>
    <w:rsid w:val="001750E8"/>
    <w:rsid w:val="001838EC"/>
    <w:rsid w:val="001910B0"/>
    <w:rsid w:val="001928F4"/>
    <w:rsid w:val="00192CB3"/>
    <w:rsid w:val="001A2155"/>
    <w:rsid w:val="001B399F"/>
    <w:rsid w:val="001B5AE0"/>
    <w:rsid w:val="001B7D65"/>
    <w:rsid w:val="001B7E57"/>
    <w:rsid w:val="001B7FA4"/>
    <w:rsid w:val="001C2C90"/>
    <w:rsid w:val="001C4B50"/>
    <w:rsid w:val="001D2ADE"/>
    <w:rsid w:val="001D58F7"/>
    <w:rsid w:val="001D5C90"/>
    <w:rsid w:val="001D7A0C"/>
    <w:rsid w:val="001F54C6"/>
    <w:rsid w:val="001F6DFB"/>
    <w:rsid w:val="00202E5C"/>
    <w:rsid w:val="002060B3"/>
    <w:rsid w:val="00210C55"/>
    <w:rsid w:val="00211EDE"/>
    <w:rsid w:val="002173D2"/>
    <w:rsid w:val="002175FA"/>
    <w:rsid w:val="00221D27"/>
    <w:rsid w:val="0023418A"/>
    <w:rsid w:val="00234594"/>
    <w:rsid w:val="00236280"/>
    <w:rsid w:val="002408AB"/>
    <w:rsid w:val="00240FD4"/>
    <w:rsid w:val="00241FE9"/>
    <w:rsid w:val="0024224A"/>
    <w:rsid w:val="00243D63"/>
    <w:rsid w:val="002521E7"/>
    <w:rsid w:val="00254174"/>
    <w:rsid w:val="002567E8"/>
    <w:rsid w:val="00260349"/>
    <w:rsid w:val="00262C4A"/>
    <w:rsid w:val="00270027"/>
    <w:rsid w:val="00270BE8"/>
    <w:rsid w:val="0027108E"/>
    <w:rsid w:val="00273F33"/>
    <w:rsid w:val="00274691"/>
    <w:rsid w:val="00276CC8"/>
    <w:rsid w:val="002770A4"/>
    <w:rsid w:val="0027752D"/>
    <w:rsid w:val="00280135"/>
    <w:rsid w:val="00286A1F"/>
    <w:rsid w:val="002922FC"/>
    <w:rsid w:val="00294120"/>
    <w:rsid w:val="00297FBF"/>
    <w:rsid w:val="002A0986"/>
    <w:rsid w:val="002A4A2B"/>
    <w:rsid w:val="002A5A26"/>
    <w:rsid w:val="002B2E56"/>
    <w:rsid w:val="002C1764"/>
    <w:rsid w:val="002C70E7"/>
    <w:rsid w:val="002C7BDF"/>
    <w:rsid w:val="002C7F00"/>
    <w:rsid w:val="002D0F4D"/>
    <w:rsid w:val="002D4EE9"/>
    <w:rsid w:val="002E3E05"/>
    <w:rsid w:val="002F0CDC"/>
    <w:rsid w:val="002F186A"/>
    <w:rsid w:val="00301DAB"/>
    <w:rsid w:val="003033DD"/>
    <w:rsid w:val="00304745"/>
    <w:rsid w:val="0030618D"/>
    <w:rsid w:val="003101AE"/>
    <w:rsid w:val="00312185"/>
    <w:rsid w:val="003174DF"/>
    <w:rsid w:val="003234F2"/>
    <w:rsid w:val="00323C0B"/>
    <w:rsid w:val="00324E0D"/>
    <w:rsid w:val="0032501D"/>
    <w:rsid w:val="00330E4F"/>
    <w:rsid w:val="00332027"/>
    <w:rsid w:val="00333293"/>
    <w:rsid w:val="0033374F"/>
    <w:rsid w:val="0033407E"/>
    <w:rsid w:val="003347E5"/>
    <w:rsid w:val="00337A97"/>
    <w:rsid w:val="003403FA"/>
    <w:rsid w:val="00341B98"/>
    <w:rsid w:val="00342686"/>
    <w:rsid w:val="00343916"/>
    <w:rsid w:val="00344717"/>
    <w:rsid w:val="00347877"/>
    <w:rsid w:val="003546D8"/>
    <w:rsid w:val="003557BE"/>
    <w:rsid w:val="0035628D"/>
    <w:rsid w:val="00356368"/>
    <w:rsid w:val="00360227"/>
    <w:rsid w:val="003628AA"/>
    <w:rsid w:val="00367B32"/>
    <w:rsid w:val="00371067"/>
    <w:rsid w:val="0037258D"/>
    <w:rsid w:val="00373620"/>
    <w:rsid w:val="00376369"/>
    <w:rsid w:val="0037764F"/>
    <w:rsid w:val="003845F7"/>
    <w:rsid w:val="003853BB"/>
    <w:rsid w:val="00385B0B"/>
    <w:rsid w:val="00386A20"/>
    <w:rsid w:val="00395043"/>
    <w:rsid w:val="00396354"/>
    <w:rsid w:val="00396F2E"/>
    <w:rsid w:val="0039783B"/>
    <w:rsid w:val="00397BF7"/>
    <w:rsid w:val="003A3220"/>
    <w:rsid w:val="003A5A52"/>
    <w:rsid w:val="003A6EBC"/>
    <w:rsid w:val="003A6F1C"/>
    <w:rsid w:val="003A7DA9"/>
    <w:rsid w:val="003B0938"/>
    <w:rsid w:val="003B3EB1"/>
    <w:rsid w:val="003B48B4"/>
    <w:rsid w:val="003B5C1E"/>
    <w:rsid w:val="003B663C"/>
    <w:rsid w:val="003C4075"/>
    <w:rsid w:val="003C67E5"/>
    <w:rsid w:val="003D062E"/>
    <w:rsid w:val="003D173F"/>
    <w:rsid w:val="003D28E9"/>
    <w:rsid w:val="003D2EF3"/>
    <w:rsid w:val="003D3102"/>
    <w:rsid w:val="003E22A2"/>
    <w:rsid w:val="003E25E8"/>
    <w:rsid w:val="003E722F"/>
    <w:rsid w:val="003F1022"/>
    <w:rsid w:val="003F12EC"/>
    <w:rsid w:val="003F1736"/>
    <w:rsid w:val="003F5CC3"/>
    <w:rsid w:val="004000B9"/>
    <w:rsid w:val="0040485F"/>
    <w:rsid w:val="00407CF6"/>
    <w:rsid w:val="00411DBB"/>
    <w:rsid w:val="0041238D"/>
    <w:rsid w:val="0041260D"/>
    <w:rsid w:val="004171E2"/>
    <w:rsid w:val="00417689"/>
    <w:rsid w:val="00427D46"/>
    <w:rsid w:val="004328D5"/>
    <w:rsid w:val="0044249F"/>
    <w:rsid w:val="004436D4"/>
    <w:rsid w:val="004437B2"/>
    <w:rsid w:val="00443897"/>
    <w:rsid w:val="00445D6E"/>
    <w:rsid w:val="004464DE"/>
    <w:rsid w:val="00447848"/>
    <w:rsid w:val="00447DF0"/>
    <w:rsid w:val="0045132E"/>
    <w:rsid w:val="00452207"/>
    <w:rsid w:val="00455D1D"/>
    <w:rsid w:val="00457F88"/>
    <w:rsid w:val="00463C0F"/>
    <w:rsid w:val="00472505"/>
    <w:rsid w:val="00473691"/>
    <w:rsid w:val="00473B52"/>
    <w:rsid w:val="00484548"/>
    <w:rsid w:val="004913BF"/>
    <w:rsid w:val="00491A22"/>
    <w:rsid w:val="00491DB7"/>
    <w:rsid w:val="00492336"/>
    <w:rsid w:val="004A2A67"/>
    <w:rsid w:val="004A41A4"/>
    <w:rsid w:val="004A4B95"/>
    <w:rsid w:val="004A5919"/>
    <w:rsid w:val="004A5DC4"/>
    <w:rsid w:val="004B0A91"/>
    <w:rsid w:val="004B4100"/>
    <w:rsid w:val="004B461C"/>
    <w:rsid w:val="004B7235"/>
    <w:rsid w:val="004C0461"/>
    <w:rsid w:val="004C5146"/>
    <w:rsid w:val="004C5E8C"/>
    <w:rsid w:val="004C6A79"/>
    <w:rsid w:val="004D199D"/>
    <w:rsid w:val="004E1986"/>
    <w:rsid w:val="004E1E27"/>
    <w:rsid w:val="004E64B3"/>
    <w:rsid w:val="004F24E0"/>
    <w:rsid w:val="004F38A9"/>
    <w:rsid w:val="004F557B"/>
    <w:rsid w:val="004F588D"/>
    <w:rsid w:val="004F5E2F"/>
    <w:rsid w:val="00504802"/>
    <w:rsid w:val="0050541D"/>
    <w:rsid w:val="00507094"/>
    <w:rsid w:val="00510E7A"/>
    <w:rsid w:val="005179F5"/>
    <w:rsid w:val="005232CB"/>
    <w:rsid w:val="00524EC2"/>
    <w:rsid w:val="00526205"/>
    <w:rsid w:val="00526C10"/>
    <w:rsid w:val="0053179C"/>
    <w:rsid w:val="0053393C"/>
    <w:rsid w:val="005357E6"/>
    <w:rsid w:val="005406E7"/>
    <w:rsid w:val="005412D0"/>
    <w:rsid w:val="005529B6"/>
    <w:rsid w:val="00554BB7"/>
    <w:rsid w:val="00561560"/>
    <w:rsid w:val="005640C8"/>
    <w:rsid w:val="00570229"/>
    <w:rsid w:val="00581659"/>
    <w:rsid w:val="00581731"/>
    <w:rsid w:val="005836EA"/>
    <w:rsid w:val="005869D0"/>
    <w:rsid w:val="0058708F"/>
    <w:rsid w:val="005A1E36"/>
    <w:rsid w:val="005A26A0"/>
    <w:rsid w:val="005A2E65"/>
    <w:rsid w:val="005A307C"/>
    <w:rsid w:val="005A53B1"/>
    <w:rsid w:val="005A53D7"/>
    <w:rsid w:val="005A5E36"/>
    <w:rsid w:val="005A64E3"/>
    <w:rsid w:val="005A65F0"/>
    <w:rsid w:val="005B27FC"/>
    <w:rsid w:val="005B4854"/>
    <w:rsid w:val="005B5AE5"/>
    <w:rsid w:val="005C0D43"/>
    <w:rsid w:val="005D2C24"/>
    <w:rsid w:val="005D5FAB"/>
    <w:rsid w:val="005D7170"/>
    <w:rsid w:val="005D720F"/>
    <w:rsid w:val="005E4972"/>
    <w:rsid w:val="005E7344"/>
    <w:rsid w:val="005F5C47"/>
    <w:rsid w:val="005F7B9E"/>
    <w:rsid w:val="006004DB"/>
    <w:rsid w:val="00600ACF"/>
    <w:rsid w:val="0060627F"/>
    <w:rsid w:val="006115C1"/>
    <w:rsid w:val="00611CF8"/>
    <w:rsid w:val="00612345"/>
    <w:rsid w:val="00613CB1"/>
    <w:rsid w:val="00621342"/>
    <w:rsid w:val="006233C5"/>
    <w:rsid w:val="0062451D"/>
    <w:rsid w:val="00626169"/>
    <w:rsid w:val="0063232D"/>
    <w:rsid w:val="0063581B"/>
    <w:rsid w:val="006411FB"/>
    <w:rsid w:val="006528FE"/>
    <w:rsid w:val="0065487A"/>
    <w:rsid w:val="00654F01"/>
    <w:rsid w:val="00655DC1"/>
    <w:rsid w:val="00657A47"/>
    <w:rsid w:val="0066025F"/>
    <w:rsid w:val="006609A3"/>
    <w:rsid w:val="0066371A"/>
    <w:rsid w:val="0066577D"/>
    <w:rsid w:val="00670396"/>
    <w:rsid w:val="00670E9D"/>
    <w:rsid w:val="006724BF"/>
    <w:rsid w:val="006759DB"/>
    <w:rsid w:val="006773E2"/>
    <w:rsid w:val="00677909"/>
    <w:rsid w:val="006851D0"/>
    <w:rsid w:val="006908F6"/>
    <w:rsid w:val="00692383"/>
    <w:rsid w:val="00693CD6"/>
    <w:rsid w:val="006956BA"/>
    <w:rsid w:val="006A11A5"/>
    <w:rsid w:val="006B0E57"/>
    <w:rsid w:val="006B197F"/>
    <w:rsid w:val="006B465A"/>
    <w:rsid w:val="006C2EBA"/>
    <w:rsid w:val="006C5A43"/>
    <w:rsid w:val="006C6117"/>
    <w:rsid w:val="006D1B5F"/>
    <w:rsid w:val="006D354F"/>
    <w:rsid w:val="006D4929"/>
    <w:rsid w:val="006D5E6A"/>
    <w:rsid w:val="006E5865"/>
    <w:rsid w:val="006E773F"/>
    <w:rsid w:val="006E7B7F"/>
    <w:rsid w:val="006F40E1"/>
    <w:rsid w:val="006F62EB"/>
    <w:rsid w:val="00701CDC"/>
    <w:rsid w:val="00704CA5"/>
    <w:rsid w:val="007054FC"/>
    <w:rsid w:val="007108FE"/>
    <w:rsid w:val="0071180D"/>
    <w:rsid w:val="00711872"/>
    <w:rsid w:val="007149C6"/>
    <w:rsid w:val="007159ED"/>
    <w:rsid w:val="00716BEA"/>
    <w:rsid w:val="0072115F"/>
    <w:rsid w:val="0072391C"/>
    <w:rsid w:val="00725808"/>
    <w:rsid w:val="00733FF0"/>
    <w:rsid w:val="00744F7A"/>
    <w:rsid w:val="00745880"/>
    <w:rsid w:val="0075417A"/>
    <w:rsid w:val="00755B20"/>
    <w:rsid w:val="0075652F"/>
    <w:rsid w:val="00760A04"/>
    <w:rsid w:val="0076162D"/>
    <w:rsid w:val="00763D6B"/>
    <w:rsid w:val="007641E0"/>
    <w:rsid w:val="00764A1C"/>
    <w:rsid w:val="00765CC4"/>
    <w:rsid w:val="007721D7"/>
    <w:rsid w:val="00772ED6"/>
    <w:rsid w:val="00774036"/>
    <w:rsid w:val="00776EEA"/>
    <w:rsid w:val="0078113A"/>
    <w:rsid w:val="007940A6"/>
    <w:rsid w:val="00795B4C"/>
    <w:rsid w:val="00797AB1"/>
    <w:rsid w:val="007A0AB3"/>
    <w:rsid w:val="007A1357"/>
    <w:rsid w:val="007A1CDF"/>
    <w:rsid w:val="007A7525"/>
    <w:rsid w:val="007B0127"/>
    <w:rsid w:val="007B3D1B"/>
    <w:rsid w:val="007B46C5"/>
    <w:rsid w:val="007B6C8F"/>
    <w:rsid w:val="007C4130"/>
    <w:rsid w:val="007C4849"/>
    <w:rsid w:val="007C5168"/>
    <w:rsid w:val="007C5FB8"/>
    <w:rsid w:val="007D1EC0"/>
    <w:rsid w:val="007D3BA7"/>
    <w:rsid w:val="007D7C65"/>
    <w:rsid w:val="007E2427"/>
    <w:rsid w:val="007E3AB2"/>
    <w:rsid w:val="007F3500"/>
    <w:rsid w:val="007F56B5"/>
    <w:rsid w:val="007F6CCE"/>
    <w:rsid w:val="007F7528"/>
    <w:rsid w:val="008013F4"/>
    <w:rsid w:val="0080519F"/>
    <w:rsid w:val="008057AC"/>
    <w:rsid w:val="00807FED"/>
    <w:rsid w:val="00816C6F"/>
    <w:rsid w:val="00817B4A"/>
    <w:rsid w:val="0082050F"/>
    <w:rsid w:val="00822357"/>
    <w:rsid w:val="00823D5B"/>
    <w:rsid w:val="00834B10"/>
    <w:rsid w:val="0083654B"/>
    <w:rsid w:val="00840E7E"/>
    <w:rsid w:val="00844CE2"/>
    <w:rsid w:val="0084531A"/>
    <w:rsid w:val="00847541"/>
    <w:rsid w:val="0085012B"/>
    <w:rsid w:val="008502F9"/>
    <w:rsid w:val="00854EB7"/>
    <w:rsid w:val="008637BE"/>
    <w:rsid w:val="008661DB"/>
    <w:rsid w:val="00867EEF"/>
    <w:rsid w:val="0087564F"/>
    <w:rsid w:val="00884CA9"/>
    <w:rsid w:val="008877F5"/>
    <w:rsid w:val="00890C2F"/>
    <w:rsid w:val="00890C76"/>
    <w:rsid w:val="008976D1"/>
    <w:rsid w:val="00897BF8"/>
    <w:rsid w:val="008A02B9"/>
    <w:rsid w:val="008A6F4A"/>
    <w:rsid w:val="008A7BC8"/>
    <w:rsid w:val="008B0596"/>
    <w:rsid w:val="008B07ED"/>
    <w:rsid w:val="008B094D"/>
    <w:rsid w:val="008B1836"/>
    <w:rsid w:val="008C0C8A"/>
    <w:rsid w:val="008C3105"/>
    <w:rsid w:val="008C426E"/>
    <w:rsid w:val="008C44ED"/>
    <w:rsid w:val="008C4FC0"/>
    <w:rsid w:val="008D675A"/>
    <w:rsid w:val="008E2813"/>
    <w:rsid w:val="008E54FA"/>
    <w:rsid w:val="008E6352"/>
    <w:rsid w:val="008F0BCA"/>
    <w:rsid w:val="008F388B"/>
    <w:rsid w:val="008F79A2"/>
    <w:rsid w:val="009039CF"/>
    <w:rsid w:val="00904A5F"/>
    <w:rsid w:val="009109A3"/>
    <w:rsid w:val="00911118"/>
    <w:rsid w:val="009134E5"/>
    <w:rsid w:val="00916FE2"/>
    <w:rsid w:val="00921C13"/>
    <w:rsid w:val="00922539"/>
    <w:rsid w:val="00924B9D"/>
    <w:rsid w:val="00925999"/>
    <w:rsid w:val="009271A1"/>
    <w:rsid w:val="009276F7"/>
    <w:rsid w:val="00927E47"/>
    <w:rsid w:val="00931F68"/>
    <w:rsid w:val="0093452A"/>
    <w:rsid w:val="0093480F"/>
    <w:rsid w:val="00934ADD"/>
    <w:rsid w:val="00936F06"/>
    <w:rsid w:val="00942B4A"/>
    <w:rsid w:val="009451E2"/>
    <w:rsid w:val="00945ECA"/>
    <w:rsid w:val="00953019"/>
    <w:rsid w:val="009545D1"/>
    <w:rsid w:val="00957038"/>
    <w:rsid w:val="00962507"/>
    <w:rsid w:val="00964BD9"/>
    <w:rsid w:val="0096508C"/>
    <w:rsid w:val="00971C22"/>
    <w:rsid w:val="00972927"/>
    <w:rsid w:val="00972B16"/>
    <w:rsid w:val="00973C38"/>
    <w:rsid w:val="00974C29"/>
    <w:rsid w:val="00977D59"/>
    <w:rsid w:val="009808D7"/>
    <w:rsid w:val="00980B87"/>
    <w:rsid w:val="009872BF"/>
    <w:rsid w:val="0099039F"/>
    <w:rsid w:val="00993C4A"/>
    <w:rsid w:val="009A251E"/>
    <w:rsid w:val="009A2A5E"/>
    <w:rsid w:val="009A573E"/>
    <w:rsid w:val="009B09F7"/>
    <w:rsid w:val="009B6109"/>
    <w:rsid w:val="009C05DC"/>
    <w:rsid w:val="009C2FBE"/>
    <w:rsid w:val="009D24F6"/>
    <w:rsid w:val="009D29CF"/>
    <w:rsid w:val="009D2EEC"/>
    <w:rsid w:val="009D3078"/>
    <w:rsid w:val="009D61E2"/>
    <w:rsid w:val="009E1348"/>
    <w:rsid w:val="009E26A9"/>
    <w:rsid w:val="009E418F"/>
    <w:rsid w:val="009E6E08"/>
    <w:rsid w:val="009F0DD5"/>
    <w:rsid w:val="009F3F3D"/>
    <w:rsid w:val="009F424B"/>
    <w:rsid w:val="00A01916"/>
    <w:rsid w:val="00A053F6"/>
    <w:rsid w:val="00A06A82"/>
    <w:rsid w:val="00A122AA"/>
    <w:rsid w:val="00A133C7"/>
    <w:rsid w:val="00A14008"/>
    <w:rsid w:val="00A236CA"/>
    <w:rsid w:val="00A2613D"/>
    <w:rsid w:val="00A26F41"/>
    <w:rsid w:val="00A27CCC"/>
    <w:rsid w:val="00A32029"/>
    <w:rsid w:val="00A4107A"/>
    <w:rsid w:val="00A427AC"/>
    <w:rsid w:val="00A432B3"/>
    <w:rsid w:val="00A44A5D"/>
    <w:rsid w:val="00A45AE6"/>
    <w:rsid w:val="00A5345D"/>
    <w:rsid w:val="00A54F8C"/>
    <w:rsid w:val="00A55963"/>
    <w:rsid w:val="00A5699F"/>
    <w:rsid w:val="00A5731D"/>
    <w:rsid w:val="00A57523"/>
    <w:rsid w:val="00A60B1D"/>
    <w:rsid w:val="00A627C8"/>
    <w:rsid w:val="00A653E8"/>
    <w:rsid w:val="00A656A3"/>
    <w:rsid w:val="00A71E55"/>
    <w:rsid w:val="00A744E9"/>
    <w:rsid w:val="00A750D1"/>
    <w:rsid w:val="00A80ED3"/>
    <w:rsid w:val="00A81E53"/>
    <w:rsid w:val="00A82877"/>
    <w:rsid w:val="00A83A47"/>
    <w:rsid w:val="00A83B41"/>
    <w:rsid w:val="00A85895"/>
    <w:rsid w:val="00A94858"/>
    <w:rsid w:val="00A970DD"/>
    <w:rsid w:val="00AA14B2"/>
    <w:rsid w:val="00AA195D"/>
    <w:rsid w:val="00AA1AB4"/>
    <w:rsid w:val="00AA351E"/>
    <w:rsid w:val="00AB1214"/>
    <w:rsid w:val="00AB1EB9"/>
    <w:rsid w:val="00AB3283"/>
    <w:rsid w:val="00AB647B"/>
    <w:rsid w:val="00AC369E"/>
    <w:rsid w:val="00AC56E9"/>
    <w:rsid w:val="00AD0A9F"/>
    <w:rsid w:val="00AD1731"/>
    <w:rsid w:val="00AD2A19"/>
    <w:rsid w:val="00AD2EED"/>
    <w:rsid w:val="00AD4BEB"/>
    <w:rsid w:val="00AD54AB"/>
    <w:rsid w:val="00AD7D90"/>
    <w:rsid w:val="00AE060D"/>
    <w:rsid w:val="00AE4D21"/>
    <w:rsid w:val="00AE559D"/>
    <w:rsid w:val="00AE57D7"/>
    <w:rsid w:val="00AE6111"/>
    <w:rsid w:val="00AE69A8"/>
    <w:rsid w:val="00AF1085"/>
    <w:rsid w:val="00AF1226"/>
    <w:rsid w:val="00AF1D2F"/>
    <w:rsid w:val="00B02D99"/>
    <w:rsid w:val="00B04080"/>
    <w:rsid w:val="00B040CE"/>
    <w:rsid w:val="00B06C92"/>
    <w:rsid w:val="00B10176"/>
    <w:rsid w:val="00B10320"/>
    <w:rsid w:val="00B11867"/>
    <w:rsid w:val="00B1241F"/>
    <w:rsid w:val="00B1540A"/>
    <w:rsid w:val="00B155FC"/>
    <w:rsid w:val="00B160A4"/>
    <w:rsid w:val="00B21D3E"/>
    <w:rsid w:val="00B221EF"/>
    <w:rsid w:val="00B271BF"/>
    <w:rsid w:val="00B27A96"/>
    <w:rsid w:val="00B334C6"/>
    <w:rsid w:val="00B33B5E"/>
    <w:rsid w:val="00B35BA4"/>
    <w:rsid w:val="00B42E31"/>
    <w:rsid w:val="00B432C5"/>
    <w:rsid w:val="00B437AB"/>
    <w:rsid w:val="00B444EA"/>
    <w:rsid w:val="00B46B76"/>
    <w:rsid w:val="00B50F28"/>
    <w:rsid w:val="00B5185A"/>
    <w:rsid w:val="00B56DA2"/>
    <w:rsid w:val="00B6256C"/>
    <w:rsid w:val="00B63823"/>
    <w:rsid w:val="00B7689B"/>
    <w:rsid w:val="00B77D5A"/>
    <w:rsid w:val="00B8476F"/>
    <w:rsid w:val="00B84985"/>
    <w:rsid w:val="00B87EB6"/>
    <w:rsid w:val="00B9034C"/>
    <w:rsid w:val="00B92FBC"/>
    <w:rsid w:val="00B96C56"/>
    <w:rsid w:val="00BA10E1"/>
    <w:rsid w:val="00BA2E9D"/>
    <w:rsid w:val="00BA47CC"/>
    <w:rsid w:val="00BA6599"/>
    <w:rsid w:val="00BA701C"/>
    <w:rsid w:val="00BB060A"/>
    <w:rsid w:val="00BB6654"/>
    <w:rsid w:val="00BD148D"/>
    <w:rsid w:val="00BE1443"/>
    <w:rsid w:val="00BE40D0"/>
    <w:rsid w:val="00BE455C"/>
    <w:rsid w:val="00BE48D9"/>
    <w:rsid w:val="00BE674D"/>
    <w:rsid w:val="00BE711F"/>
    <w:rsid w:val="00BE75A7"/>
    <w:rsid w:val="00BF03F8"/>
    <w:rsid w:val="00BF1285"/>
    <w:rsid w:val="00BF1712"/>
    <w:rsid w:val="00BF3B7E"/>
    <w:rsid w:val="00BF43D0"/>
    <w:rsid w:val="00BF54CD"/>
    <w:rsid w:val="00BF7256"/>
    <w:rsid w:val="00C067B2"/>
    <w:rsid w:val="00C16AE8"/>
    <w:rsid w:val="00C17966"/>
    <w:rsid w:val="00C214B1"/>
    <w:rsid w:val="00C2417D"/>
    <w:rsid w:val="00C24DF0"/>
    <w:rsid w:val="00C257EA"/>
    <w:rsid w:val="00C25855"/>
    <w:rsid w:val="00C2589D"/>
    <w:rsid w:val="00C260C9"/>
    <w:rsid w:val="00C26E1C"/>
    <w:rsid w:val="00C36700"/>
    <w:rsid w:val="00C42F7C"/>
    <w:rsid w:val="00C43779"/>
    <w:rsid w:val="00C45A7B"/>
    <w:rsid w:val="00C50055"/>
    <w:rsid w:val="00C504BD"/>
    <w:rsid w:val="00C53FD9"/>
    <w:rsid w:val="00C54D1E"/>
    <w:rsid w:val="00C55849"/>
    <w:rsid w:val="00C61396"/>
    <w:rsid w:val="00C6219B"/>
    <w:rsid w:val="00C72061"/>
    <w:rsid w:val="00C74F82"/>
    <w:rsid w:val="00C81158"/>
    <w:rsid w:val="00C82528"/>
    <w:rsid w:val="00C83DAA"/>
    <w:rsid w:val="00C85B54"/>
    <w:rsid w:val="00C93E75"/>
    <w:rsid w:val="00C95691"/>
    <w:rsid w:val="00C96416"/>
    <w:rsid w:val="00CA1A29"/>
    <w:rsid w:val="00CA553D"/>
    <w:rsid w:val="00CA55D6"/>
    <w:rsid w:val="00CB548D"/>
    <w:rsid w:val="00CB5858"/>
    <w:rsid w:val="00CC3268"/>
    <w:rsid w:val="00CC4CC7"/>
    <w:rsid w:val="00CC73AE"/>
    <w:rsid w:val="00CD0461"/>
    <w:rsid w:val="00CD0F6E"/>
    <w:rsid w:val="00CD15D6"/>
    <w:rsid w:val="00CD3081"/>
    <w:rsid w:val="00CD39F5"/>
    <w:rsid w:val="00CD5F78"/>
    <w:rsid w:val="00CE4864"/>
    <w:rsid w:val="00CF0DA8"/>
    <w:rsid w:val="00CF42DA"/>
    <w:rsid w:val="00CF5492"/>
    <w:rsid w:val="00CF56AB"/>
    <w:rsid w:val="00CF75F8"/>
    <w:rsid w:val="00CF7DC3"/>
    <w:rsid w:val="00D002A0"/>
    <w:rsid w:val="00D021F7"/>
    <w:rsid w:val="00D03B09"/>
    <w:rsid w:val="00D055EC"/>
    <w:rsid w:val="00D06FD7"/>
    <w:rsid w:val="00D11D39"/>
    <w:rsid w:val="00D16A37"/>
    <w:rsid w:val="00D20B18"/>
    <w:rsid w:val="00D22840"/>
    <w:rsid w:val="00D37968"/>
    <w:rsid w:val="00D42338"/>
    <w:rsid w:val="00D50EB3"/>
    <w:rsid w:val="00D53D91"/>
    <w:rsid w:val="00D54366"/>
    <w:rsid w:val="00D55178"/>
    <w:rsid w:val="00D61617"/>
    <w:rsid w:val="00D62E0E"/>
    <w:rsid w:val="00D67A90"/>
    <w:rsid w:val="00D710D0"/>
    <w:rsid w:val="00D741C9"/>
    <w:rsid w:val="00D750DB"/>
    <w:rsid w:val="00D779F8"/>
    <w:rsid w:val="00D811B9"/>
    <w:rsid w:val="00D82BD5"/>
    <w:rsid w:val="00D83173"/>
    <w:rsid w:val="00D84910"/>
    <w:rsid w:val="00D92BD8"/>
    <w:rsid w:val="00D93412"/>
    <w:rsid w:val="00D939AB"/>
    <w:rsid w:val="00D94BF8"/>
    <w:rsid w:val="00D96478"/>
    <w:rsid w:val="00DA37D4"/>
    <w:rsid w:val="00DA4B7C"/>
    <w:rsid w:val="00DA660C"/>
    <w:rsid w:val="00DB05EE"/>
    <w:rsid w:val="00DB1696"/>
    <w:rsid w:val="00DB36A0"/>
    <w:rsid w:val="00DB3A1D"/>
    <w:rsid w:val="00DB58BA"/>
    <w:rsid w:val="00DC0F70"/>
    <w:rsid w:val="00DC1429"/>
    <w:rsid w:val="00DC17BB"/>
    <w:rsid w:val="00DC52D5"/>
    <w:rsid w:val="00DC693F"/>
    <w:rsid w:val="00DD0ED1"/>
    <w:rsid w:val="00DD3921"/>
    <w:rsid w:val="00DD606A"/>
    <w:rsid w:val="00DD7539"/>
    <w:rsid w:val="00DE0193"/>
    <w:rsid w:val="00DE37F5"/>
    <w:rsid w:val="00DE6259"/>
    <w:rsid w:val="00DE727E"/>
    <w:rsid w:val="00DF1B46"/>
    <w:rsid w:val="00DF2C6B"/>
    <w:rsid w:val="00DF341C"/>
    <w:rsid w:val="00DF4B92"/>
    <w:rsid w:val="00DF56F8"/>
    <w:rsid w:val="00DF5A74"/>
    <w:rsid w:val="00DF5FD4"/>
    <w:rsid w:val="00E02F6B"/>
    <w:rsid w:val="00E02F73"/>
    <w:rsid w:val="00E05B21"/>
    <w:rsid w:val="00E07BA4"/>
    <w:rsid w:val="00E1040C"/>
    <w:rsid w:val="00E118CF"/>
    <w:rsid w:val="00E12F04"/>
    <w:rsid w:val="00E17C78"/>
    <w:rsid w:val="00E208FA"/>
    <w:rsid w:val="00E21F54"/>
    <w:rsid w:val="00E248DA"/>
    <w:rsid w:val="00E25095"/>
    <w:rsid w:val="00E26B16"/>
    <w:rsid w:val="00E27AEC"/>
    <w:rsid w:val="00E36971"/>
    <w:rsid w:val="00E37482"/>
    <w:rsid w:val="00E45A84"/>
    <w:rsid w:val="00E4611A"/>
    <w:rsid w:val="00E47AFC"/>
    <w:rsid w:val="00E52E8A"/>
    <w:rsid w:val="00E5526F"/>
    <w:rsid w:val="00E5683C"/>
    <w:rsid w:val="00E5781B"/>
    <w:rsid w:val="00E638E0"/>
    <w:rsid w:val="00E64DA9"/>
    <w:rsid w:val="00E76080"/>
    <w:rsid w:val="00E76681"/>
    <w:rsid w:val="00E8057E"/>
    <w:rsid w:val="00E82A80"/>
    <w:rsid w:val="00E851EA"/>
    <w:rsid w:val="00E860AA"/>
    <w:rsid w:val="00E901C8"/>
    <w:rsid w:val="00E91891"/>
    <w:rsid w:val="00E942AD"/>
    <w:rsid w:val="00E94892"/>
    <w:rsid w:val="00E97319"/>
    <w:rsid w:val="00EA188D"/>
    <w:rsid w:val="00EA4D67"/>
    <w:rsid w:val="00EA55F3"/>
    <w:rsid w:val="00EA7FCE"/>
    <w:rsid w:val="00EB1D12"/>
    <w:rsid w:val="00EB1E69"/>
    <w:rsid w:val="00EB4336"/>
    <w:rsid w:val="00EB53AE"/>
    <w:rsid w:val="00EC0AE2"/>
    <w:rsid w:val="00EC0F31"/>
    <w:rsid w:val="00EC1D86"/>
    <w:rsid w:val="00EC1E77"/>
    <w:rsid w:val="00EC4E39"/>
    <w:rsid w:val="00ED6A07"/>
    <w:rsid w:val="00EE072C"/>
    <w:rsid w:val="00EE16FC"/>
    <w:rsid w:val="00EE44B6"/>
    <w:rsid w:val="00EE48C7"/>
    <w:rsid w:val="00EE51D9"/>
    <w:rsid w:val="00EE5C94"/>
    <w:rsid w:val="00EE6AC2"/>
    <w:rsid w:val="00EF0114"/>
    <w:rsid w:val="00EF055C"/>
    <w:rsid w:val="00EF3A3C"/>
    <w:rsid w:val="00EF75F8"/>
    <w:rsid w:val="00F0026A"/>
    <w:rsid w:val="00F035B3"/>
    <w:rsid w:val="00F054C7"/>
    <w:rsid w:val="00F06F6F"/>
    <w:rsid w:val="00F074DD"/>
    <w:rsid w:val="00F115C4"/>
    <w:rsid w:val="00F11ED3"/>
    <w:rsid w:val="00F12BA1"/>
    <w:rsid w:val="00F15B3B"/>
    <w:rsid w:val="00F17A99"/>
    <w:rsid w:val="00F2273F"/>
    <w:rsid w:val="00F23FEA"/>
    <w:rsid w:val="00F27CEC"/>
    <w:rsid w:val="00F3148A"/>
    <w:rsid w:val="00F354AB"/>
    <w:rsid w:val="00F4042B"/>
    <w:rsid w:val="00F40805"/>
    <w:rsid w:val="00F4312B"/>
    <w:rsid w:val="00F477BB"/>
    <w:rsid w:val="00F5339B"/>
    <w:rsid w:val="00F54C44"/>
    <w:rsid w:val="00F62CD8"/>
    <w:rsid w:val="00F62D71"/>
    <w:rsid w:val="00F63F0B"/>
    <w:rsid w:val="00F64E9F"/>
    <w:rsid w:val="00F65713"/>
    <w:rsid w:val="00F65CA2"/>
    <w:rsid w:val="00F67456"/>
    <w:rsid w:val="00F72246"/>
    <w:rsid w:val="00F72318"/>
    <w:rsid w:val="00F759E7"/>
    <w:rsid w:val="00F81655"/>
    <w:rsid w:val="00F824F0"/>
    <w:rsid w:val="00F84104"/>
    <w:rsid w:val="00F846D0"/>
    <w:rsid w:val="00F8693C"/>
    <w:rsid w:val="00F871EF"/>
    <w:rsid w:val="00F87CB8"/>
    <w:rsid w:val="00F95282"/>
    <w:rsid w:val="00F963D3"/>
    <w:rsid w:val="00FA0186"/>
    <w:rsid w:val="00FA1DD2"/>
    <w:rsid w:val="00FA3D8E"/>
    <w:rsid w:val="00FA5609"/>
    <w:rsid w:val="00FA58AE"/>
    <w:rsid w:val="00FA63F6"/>
    <w:rsid w:val="00FA691A"/>
    <w:rsid w:val="00FB033D"/>
    <w:rsid w:val="00FB48B2"/>
    <w:rsid w:val="00FB6082"/>
    <w:rsid w:val="00FB621B"/>
    <w:rsid w:val="00FB71CF"/>
    <w:rsid w:val="00FC32E7"/>
    <w:rsid w:val="00FC479E"/>
    <w:rsid w:val="00FD1523"/>
    <w:rsid w:val="00FD1954"/>
    <w:rsid w:val="00FD2D34"/>
    <w:rsid w:val="00FD5493"/>
    <w:rsid w:val="00FD6022"/>
    <w:rsid w:val="00FD7A8E"/>
    <w:rsid w:val="00FE0065"/>
    <w:rsid w:val="00FE205B"/>
    <w:rsid w:val="00FE773B"/>
    <w:rsid w:val="00FF3C10"/>
    <w:rsid w:val="00FF3C1D"/>
    <w:rsid w:val="00FF45AB"/>
    <w:rsid w:val="00FF5893"/>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0CE4B"/>
  <w15:docId w15:val="{55394E6E-2C38-4EE2-A81C-75A14C98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528"/>
    <w:pPr>
      <w:autoSpaceDE w:val="0"/>
      <w:autoSpaceDN w:val="0"/>
      <w:jc w:val="both"/>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eastAsia="en-US"/>
    </w:rPr>
  </w:style>
  <w:style w:type="character" w:customStyle="1" w:styleId="CharChar1">
    <w:name w:val="Char Char1"/>
    <w:uiPriority w:val="99"/>
    <w:semiHidden/>
    <w:locked/>
    <w:rsid w:val="007D7C65"/>
    <w:rPr>
      <w:sz w:val="20"/>
      <w:lang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 w:type="character" w:customStyle="1" w:styleId="Subst0">
    <w:name w:val="Subst"/>
    <w:rsid w:val="006759DB"/>
    <w:rPr>
      <w:b/>
      <w:i/>
    </w:rPr>
  </w:style>
  <w:style w:type="character" w:styleId="af7">
    <w:name w:val="Strong"/>
    <w:basedOn w:val="a0"/>
    <w:uiPriority w:val="99"/>
    <w:qFormat/>
    <w:locked/>
    <w:rsid w:val="0096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1253">
      <w:marLeft w:val="0"/>
      <w:marRight w:val="0"/>
      <w:marTop w:val="0"/>
      <w:marBottom w:val="0"/>
      <w:divBdr>
        <w:top w:val="none" w:sz="0" w:space="0" w:color="auto"/>
        <w:left w:val="none" w:sz="0" w:space="0" w:color="auto"/>
        <w:bottom w:val="none" w:sz="0" w:space="0" w:color="auto"/>
        <w:right w:val="none" w:sz="0" w:space="0" w:color="auto"/>
      </w:divBdr>
    </w:div>
    <w:div w:id="654258025">
      <w:bodyDiv w:val="1"/>
      <w:marLeft w:val="0"/>
      <w:marRight w:val="0"/>
      <w:marTop w:val="0"/>
      <w:marBottom w:val="0"/>
      <w:divBdr>
        <w:top w:val="none" w:sz="0" w:space="0" w:color="auto"/>
        <w:left w:val="none" w:sz="0" w:space="0" w:color="auto"/>
        <w:bottom w:val="none" w:sz="0" w:space="0" w:color="auto"/>
        <w:right w:val="none" w:sz="0" w:space="0" w:color="auto"/>
      </w:divBdr>
    </w:div>
    <w:div w:id="1311982004">
      <w:bodyDiv w:val="1"/>
      <w:marLeft w:val="0"/>
      <w:marRight w:val="0"/>
      <w:marTop w:val="0"/>
      <w:marBottom w:val="0"/>
      <w:divBdr>
        <w:top w:val="none" w:sz="0" w:space="0" w:color="auto"/>
        <w:left w:val="none" w:sz="0" w:space="0" w:color="auto"/>
        <w:bottom w:val="none" w:sz="0" w:space="0" w:color="auto"/>
        <w:right w:val="none" w:sz="0" w:space="0" w:color="auto"/>
      </w:divBdr>
    </w:div>
    <w:div w:id="1497844221">
      <w:bodyDiv w:val="1"/>
      <w:marLeft w:val="0"/>
      <w:marRight w:val="0"/>
      <w:marTop w:val="0"/>
      <w:marBottom w:val="0"/>
      <w:divBdr>
        <w:top w:val="none" w:sz="0" w:space="0" w:color="auto"/>
        <w:left w:val="none" w:sz="0" w:space="0" w:color="auto"/>
        <w:bottom w:val="none" w:sz="0" w:space="0" w:color="auto"/>
        <w:right w:val="none" w:sz="0" w:space="0" w:color="auto"/>
      </w:divBdr>
    </w:div>
    <w:div w:id="1515656590">
      <w:bodyDiv w:val="1"/>
      <w:marLeft w:val="0"/>
      <w:marRight w:val="0"/>
      <w:marTop w:val="0"/>
      <w:marBottom w:val="0"/>
      <w:divBdr>
        <w:top w:val="none" w:sz="0" w:space="0" w:color="auto"/>
        <w:left w:val="none" w:sz="0" w:space="0" w:color="auto"/>
        <w:bottom w:val="none" w:sz="0" w:space="0" w:color="auto"/>
        <w:right w:val="none" w:sz="0" w:space="0" w:color="auto"/>
      </w:divBdr>
    </w:div>
    <w:div w:id="15932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F3C2-0ACE-435B-B193-6CB165E8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4379</Characters>
  <Application>Microsoft Office Word</Application>
  <DocSecurity>0</DocSecurity>
  <Lines>36</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25</vt:lpstr>
      <vt:lpstr>Приложение 25</vt:lpstr>
    </vt:vector>
  </TitlesOfParts>
  <Company>Hewlett-Packard Company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Prof-RomanovaAA</dc:creator>
  <cp:lastModifiedBy>Жуков Михаил Александрович</cp:lastModifiedBy>
  <cp:revision>12</cp:revision>
  <cp:lastPrinted>2015-06-30T13:56:00Z</cp:lastPrinted>
  <dcterms:created xsi:type="dcterms:W3CDTF">2022-10-27T13:29:00Z</dcterms:created>
  <dcterms:modified xsi:type="dcterms:W3CDTF">2023-03-28T11:02:00Z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