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7F0BEC">
        <w:t>Приложение №3 к ПДО №707</w:t>
      </w:r>
      <w:r>
        <w:t>/ТК/2014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7F0BEC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0" w:name="OLE_LINK1"/>
      <w:bookmarkStart w:id="1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0"/>
      <w:bookmarkEnd w:id="1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6F332C" w:rsidTr="00166D6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6F332C" w:rsidTr="00166D6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6F332C" w:rsidTr="00166D6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6F332C" w:rsidRPr="0092709F" w:rsidRDefault="006F332C" w:rsidP="006F332C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4102E6">
        <w:rPr>
          <w:sz w:val="26"/>
          <w:szCs w:val="26"/>
        </w:rPr>
        <w:t>30</w:t>
      </w:r>
      <w:r w:rsidRPr="00554BCA">
        <w:rPr>
          <w:sz w:val="26"/>
          <w:szCs w:val="26"/>
        </w:rPr>
        <w:t xml:space="preserve"> (</w:t>
      </w:r>
      <w:r w:rsidR="004102E6">
        <w:rPr>
          <w:sz w:val="26"/>
          <w:szCs w:val="26"/>
        </w:rPr>
        <w:t>тридцати</w:t>
      </w:r>
      <w:r w:rsidR="00554BCA" w:rsidRPr="00554BCA">
        <w:rPr>
          <w:sz w:val="26"/>
          <w:szCs w:val="26"/>
        </w:rPr>
        <w:t>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F42F8F" w:rsidRPr="00554BCA">
        <w:rPr>
          <w:b/>
          <w:sz w:val="26"/>
          <w:szCs w:val="26"/>
        </w:rPr>
        <w:t>48</w:t>
      </w:r>
      <w:r w:rsidR="00F42F8F" w:rsidRPr="00554BCA">
        <w:rPr>
          <w:sz w:val="26"/>
          <w:szCs w:val="26"/>
        </w:rPr>
        <w:t xml:space="preserve"> копеек (сорок восемь) рублей 48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  <w:bookmarkStart w:id="2" w:name="_GoBack"/>
      <w:bookmarkEnd w:id="2"/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F6C99"/>
    <w:rsid w:val="00401CF5"/>
    <w:rsid w:val="004102E6"/>
    <w:rsid w:val="00440B1C"/>
    <w:rsid w:val="0045007C"/>
    <w:rsid w:val="00460876"/>
    <w:rsid w:val="00485322"/>
    <w:rsid w:val="004A5440"/>
    <w:rsid w:val="00554BCA"/>
    <w:rsid w:val="00564E30"/>
    <w:rsid w:val="0058212A"/>
    <w:rsid w:val="005A69E5"/>
    <w:rsid w:val="005F2A03"/>
    <w:rsid w:val="0061381F"/>
    <w:rsid w:val="00614593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0BEC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CD7332"/>
    <w:rsid w:val="00D27F7E"/>
    <w:rsid w:val="00D51B7B"/>
    <w:rsid w:val="00DA35D1"/>
    <w:rsid w:val="00DD02D7"/>
    <w:rsid w:val="00DE7D16"/>
    <w:rsid w:val="00DF5030"/>
    <w:rsid w:val="00E13E9C"/>
    <w:rsid w:val="00E15013"/>
    <w:rsid w:val="00E4752E"/>
    <w:rsid w:val="00E6542E"/>
    <w:rsid w:val="00E91577"/>
    <w:rsid w:val="00E91B2C"/>
    <w:rsid w:val="00E97B37"/>
    <w:rsid w:val="00EA7784"/>
    <w:rsid w:val="00EC1834"/>
    <w:rsid w:val="00EC429F"/>
    <w:rsid w:val="00ED1872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145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45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145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4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3141</Words>
  <Characters>17908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8</cp:revision>
  <cp:lastPrinted>2014-10-08T04:07:00Z</cp:lastPrinted>
  <dcterms:created xsi:type="dcterms:W3CDTF">2014-08-11T10:12:00Z</dcterms:created>
  <dcterms:modified xsi:type="dcterms:W3CDTF">2014-10-08T04:07:00Z</dcterms:modified>
</cp:coreProperties>
</file>